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отчету о выполнении муниципальной программы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«Экономическое развитие города Перми» </w:t>
      </w:r>
    </w:p>
    <w:p>
      <w:pPr>
        <w:pStyle w:val="Normal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2024 год</w:t>
      </w:r>
    </w:p>
    <w:p>
      <w:pPr>
        <w:pStyle w:val="Normal"/>
        <w:shd w:val="clear" w:color="auto" w:fill="ffffff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b/>
          <w:sz w:val="28"/>
          <w:szCs w:val="28"/>
          <w:shd w:val="clear" w:fill="auto"/>
        </w:rPr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Отчет о выполнении муниципальной программы «Экономическое развитие города Перми», утвержденной постановлением администрации города Перми от 15.10.2021 № 874, сформирован в соответствии с Порядком принятия решений о разработке муниципальных программ, их формирования и реализации, </w:t>
        <w:br/>
        <w:t xml:space="preserve">установленным постановлением администрации города Перми от 25.09.2013 № 781.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В 2024 году уточненный план финансирования за отчетный период муниципальной программы «Экономическое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развитие города Перми» (далее – программа) исполнен в сумме 34 019,936 тыс. руб., плановое значение -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34 598,518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тыс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. руб.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(исполнение – 98,3% от планового значения объема бюджетного финансирования)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, в т.ч.: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подпрограммы 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Содействие развитию промышленного потенциала и реализации кластерной политики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237,500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тыс. руб.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(исполнение – 100,0%)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подпрограммы 1.2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Формирование благоприятной инвестиционной среды – 418,800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тыс.руб.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(исполнение – 100,0%)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подпрограммы 1.3 «Создание условий для развития малого и среднего предпринимательства»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14 889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,444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тыс. руб., исполнено на сумму 14 623,017 тыс. руб.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(исполнение – 98,2%)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- подпрограммы 1.4 «Развитие потребительского рынка»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14 701,774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тыс.руб. исполнено на сумму 14 389,658 тыс. руб.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(исполнение – 97,9%)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подпрограммы 1.5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Развитие туризма в городе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- 4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 351,000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тыс. руб.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(исполнение – 100,0%)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Основными направлениями реализации программы в отчетном году явились: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с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тимулирование внедрения передовых управленческих, организационных и технологических решений для повышения производительности труда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ab/>
        <w:t xml:space="preserve">-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формирование комфортной деловой среды для развития и ведения бизнеса,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содействие в развитии муниципально-частного партнерства (далее - МЧП),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оздание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условий для развития малого и среднего предпринимательства,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развитие инновационного предпринимательства,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о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рганизация мероприятий для обеспечения жителей города Перми услугами торговли, общественного питания, бытового обслуживания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, размещение нестационарных торговых объектов (далее - НТО), автостоянок открытого типа (далее - АСОТ), рекламных конструкций (далее – РК) в соответствии с действующим законодательством,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о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рганизация и проведение ярмарочных мероприятий на территории города Перми,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проведение конкурса на лучшее оформление предприятий города Перми к Новому году,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с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одействие развитию туристического потенциала города Перми.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Показатели конечного результата (далее – ПКР) цели: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bCs/>
          <w:sz w:val="28"/>
          <w:szCs w:val="28"/>
          <w:shd w:val="clear" w:fill="auto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 xml:space="preserve">значение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ПКР «Объем финансовых средств организациями,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программах» составляет 80,0 млн. руб.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или 100,0% от планового значения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;</w:t>
      </w:r>
    </w:p>
    <w:p>
      <w:pPr>
        <w:pStyle w:val="NoSpacing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sz w:val="28"/>
          <w:szCs w:val="28"/>
          <w:shd w:val="clear" w:fill="auto"/>
          <w:lang w:eastAsia="ru-RU"/>
        </w:rPr>
        <w:t xml:space="preserve">- значение ПКР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«Число субъектов малого и среднего предпринимательства (далее – СМСП) в расчете на 10 тыс. чел. населения» составляет 595,5 ед. или  106,5% от планового значения. Увеличение значение показателя произошло в связи с изменением налогового законодательства РФ в части предоставления льгот субъектам МСП.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Результаты реализации муниципальной программы в разрезе мероприятий в 2024 году: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Подпрограмма 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Содействие развитию промышленного потенциала и реализации кластерной политики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1.1.1 «Стимулирование внедрения передовых управленческих, организационных и технологических решений для повышения производительности труда»: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1.1.1.1.1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Информационная поддержка и доведение лучших практик реализации программ по повышению производительности труда крупных и средних предприятиях базовых несырьевых отраслей экономики города Перми в рамках реализации национального проекта «Производительность труда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в реализацию национального проекта «Производительность труда» по направлениям поддержки</w:t>
      </w:r>
      <w:r>
        <w:rPr>
          <w:rFonts w:ascii="Times New Roman" w:hAnsi="Times New Roman" w:eastAsia="Times New Roman"/>
          <w:sz w:val="28"/>
          <w:szCs w:val="28"/>
          <w:shd w:val="clear" w:fill="auto"/>
        </w:rPr>
        <w:t xml:space="preserve"> (системные меры и адресная поддержка) вовлечено 79 предприятий города Перми или 100 % от планового значения. 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Новыми участниками национального проекта в 2024 году стали следующие предприятия: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ООО «Форпласт Трейдинг», ООО «Большая земля», ООО «Промхимпермь», ООО «Пермская судоверфь», ООО «НПО «ГалилеоСкай», ООО «Ревитех», ООО «Мотовилиха-гражданское машиностроение», ООО «Поволжская научно-производственная компания», ООО «Кайрос Инжиниринг», ООО «Парма технологии машиностроения»</w:t>
      </w:r>
      <w:r>
        <w:rPr>
          <w:rFonts w:ascii="Times New Roman" w:hAnsi="Times New Roman" w:eastAsia="Times New Roman"/>
          <w:sz w:val="28"/>
          <w:szCs w:val="28"/>
          <w:shd w:val="clear" w:fill="auto"/>
        </w:rPr>
        <w:t xml:space="preserve">.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размещенных информационных сообщений о реализации национального проекта в целях повышения эффективности производств, обучения сотрудников культуре бережливого производства и совершенствования процессов для интенсификации выпуска продукции, компаниях-участниках, достигнутых результатах обучения в информационно-телекоммуникационной сети Интернет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 составило 10 ед., что соответствует плановому значению;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1.1.1.2.1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Субсидия некоммерческим организациям, не являющимся государственными (муниципальными) учреждениями, на организацию и проведение конференций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 (далее – субсидия), уточненный план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финансирования за отчетный период исполнен в сумме 237,500 тыс. руб.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(исполнение – 100,0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%),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количество участников конференций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составило 174 чел</w:t>
      </w:r>
      <w:r>
        <w:rPr>
          <w:rFonts w:ascii="Times New Roman" w:hAnsi="Times New Roman" w:eastAsia="Times New Roman"/>
          <w:sz w:val="28"/>
          <w:szCs w:val="28"/>
          <w:shd w:val="clear" w:fill="auto"/>
        </w:rPr>
        <w:t xml:space="preserve"> или 100,0% от планового значения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Получателем субсидии признана некоммерческая организация АНО «Центр повышения квалификации «Становление» по следующим направлениям: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1. «Повышение производительности труда», размер субсидии – 95,0 тыс. руб.;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2. «Инновации и цифровизация в промышленности», размер субсидии – 71,25 тыс. руб.;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3.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Стратегический менеджмент», размер субсидии – 71,25 тыс. руб.;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- мероприятие 1.1.1.3.1 «Участие в работе городской межведомственной комиссии по предотвращению социальной напряженности на рынке труда в городе Перми (далее - комиссия)»: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проведено 4 заседания комиссии или 100,0% от планового значения показателя, на которых рассмотрено 38 организаций, имеющих заложенность по заработной плате и налогам, а также риски по уровню выплаты заработной платы ниже минимального размера оплаты труда в Пермском крае;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- мероприятие 1.1.1.3.2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Мониторинг численности работников и учета рабочих мест на предприятиях и организациях города Перми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проведено 4 мониторинга или 100,0% от планового значения показателя. 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 xml:space="preserve">Монито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</w:rPr>
        <w:t xml:space="preserve">ринг создания рабочих мест позволяет оценить динамику создания рабочих мест на предприятиях (организациях) города Перми, прогнозировать создание и сокращение рабочих мест, анализировать профицит и дефицит рабочих мест</w:t>
      </w: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Значение ПКР «Производительность труда в год на одного работника» составляет 3399,6 тыс. руб./чел. или 186,1 % от планового значения. Увеличение значения показателя связано с значительно выросшим объем инвестиций в основной капитал. В видовой структуре инвестиций наибольший рост составил по видам деятельности: «строительство зданий (кроме жилых) и сооружений, расходы на покупку машин и оборудования включая хозяйственный инвентарь, и другие объекты»;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fill="auto"/>
          <w:lang w:eastAsia="ru-RU"/>
        </w:rPr>
        <w:t xml:space="preserve">значение ПКР «Среднемесячная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номинальная начисленная заработная плата работников крупных и средних организаций»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 будет сформирован в итогах «Социально-экономического развития г. Перми» составляет 88128,8 руб. или 114,8% от планового значения. Увеличение значения показателя связано с увеличением среднемесячной заработной платы работников по следующим видам экономической деятельности: обрабатывающее производство, строительство, добыча полезных ископаемых, деятельность финансовая и страховая, деятельность по обработке древесины и производство изделий из дерева.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«Доля прибывших работников в общем количестве прибывших и выбывших работников» составляет 91 % или 113,8% от планового значения показателя. Увеличение фактического значения показателя связано с созданием дополнительных рабочих мест, преимущественно на промышленных предприятиях оборонно-промышленного комплекса.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1.1.2 «Содействие в расширении кооперационных связей крупных предприятий с малыми предприятиями»: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мероприятие 1.1.2.1.1 «Проведение мероприятий по информированию (организаций) о возможности участия в промышленной кооперации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на Инвестиционном портале города Перми размещены информационные материалы о деятельности и мероприятиях, проводимых Центром промышленной кооперации Пермского края (Региональный центр инжиниринга) в целях расширения кооперации крупных предприятий с малыми предприятиями города Перми, количество информационных сообщений в 2024 году составило 20 ед.</w:t>
      </w:r>
      <w:r>
        <w:rPr>
          <w:rFonts w:ascii="Times New Roman" w:hAnsi="Times New Roman" w:eastAsia="Times New Roman"/>
          <w:sz w:val="28"/>
          <w:szCs w:val="28"/>
          <w:shd w:val="clear" w:fill="auto"/>
        </w:rPr>
        <w:t xml:space="preserve"> или 100,0% от планового значения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1.1.2.1.2 «Продвижение механизма субконтрактации»: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5 семинаров и лекций с предприятиями города и СМСП</w:t>
      </w:r>
      <w:r>
        <w:rPr>
          <w:rFonts w:ascii="Times New Roman" w:hAnsi="Times New Roman" w:eastAsia="Times New Roman"/>
          <w:sz w:val="28"/>
          <w:szCs w:val="28"/>
          <w:shd w:val="clear" w:fill="auto"/>
        </w:rPr>
        <w:t xml:space="preserve"> или 100,0% от планового значения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, по следующим темам «Семинар по мерам поддержки от РЦИ», «Подготовка заявок по программе СТАРТ, презентация РЦИ», «Нефть, газ, химия» (закупочная сессия РЦИ), «Встреча с ПАО «Сбербанк», обсуждение дальнейшего сотрудничества в раках промышленной кооперации», «Встреча с «Метафракс Кемикалс», обсуждение дальнейшего сотрудничества в раках промышленной кооперации»;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«Количество субъектов малого и среднего предпринимательства, вовлеченных в промышленную кооперацию (нарастающим итогом)» составляет 103 ед. </w:t>
      </w:r>
      <w:r>
        <w:rPr>
          <w:rFonts w:ascii="Times New Roman" w:hAnsi="Times New Roman"/>
          <w:color w:val="000000"/>
          <w:sz w:val="28"/>
          <w:szCs w:val="28"/>
          <w:shd w:val="clear" w:fill="auto"/>
        </w:rPr>
        <w:t xml:space="preserve">или 115,7% о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т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планового значения. Необходимо отметить, что наибольшее количество предприятий стало участниками промышленной кооперации во втором полугодии 2024 года. Столь значительное увеличение показателя связано с тем, что интерес предприятий к деятельности фонда «Региональный центр инжиниринга» в сфере промышленной кооперации ежегодно возрастает. Фонд создает новые возможности для сотрудничества крупных холдингов и компаний с  предприятиями и организациями. На сегодняшний день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в промкооперации участвуют более 500 предприятий-поставщиков Пермского края, из них 351 предприятие города Перми (АО «Камтэкс-Химпром», ПАО «ПНППК», ООО «Тенториум», ООО «Силур», АО «Медисорб» и др.). Основными партнерами пермских производителей в рамках промышленной кооперации являются крупнейшие холдинги: ПАО «Газпром», ПАО «Газпром нефть», ГП «ЛУКОЙЛ», ПАО «Уралкалий», ПАО «СИБУР» и другие. В 2023-2024 годах организовано более 200 мероприятий, направленных на развитие и укрепление взаимодействия между промышленниками региона и крупными заказчиками, – научные советы, рабочие и технические совещания и круглые столы.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Подпрограмма 1.2 «Формирование благоприятной инвестиционной среды».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1.2.1 «Содействие в развитии муниципально-частного партнерства (далее – МЧП)»: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1.2.1.1.1 «Подготовка заключений о возможности (невозможности) реализации инвестиционного проекта на принципах МЧП»: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подготовлено 7 заключений (100 % от планового значения) на предмет возможности реализации инфраструктурных проектов города Перми в сферах образования, физической культуры и спорта, благоустройства.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1.2.1.2.1 «Формирование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«Интернет»: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на Инвестиционном портале города Перми в разделе «Инвесторам» подразделе «Муниципально-частное партнерство/концессионные соглашения» размещены 3 перечня объектов, в отношении которых планируется (возможно) заключение соглашений МЧП, концессионных соглашений (100 % от планового значения).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1.2.1.2.2 «Оказание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консультативная поддержка при реализации инвестиционных проектов с применением механизма МЧП/концессионных соглашений оказана 14 субъектам инвестиционной деятельности (100 % от планового значения) по вопросам механизмов реализации инвестиционных проектов по созданию объектов физической культуры и спорта, а именно: плавательных бассейнов, многофункциональных физкультурно-оздоровительных центров, футбольных полей, а также объектов в сфере образования, организации отдыха граждан и туризма и подбора инвестиционных площадок для их реализации.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bCs/>
          <w:sz w:val="28"/>
          <w:szCs w:val="28"/>
          <w:shd w:val="clear" w:fill="auto"/>
        </w:rPr>
        <w:t xml:space="preserve">Значение ПКР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«Количество принятых решений о реализации проектов МЧП, инвестиционных проектов, претендующих на статус «Приоритетный инвестиционный проект» составляет 4 ед. или 133,3 % от планового значения. Перевыполнение показателя связано с увеличением принятых решений об одобрении инвестиционных проектов с объемом инвестиций от 80 млн. руб. до 100 млн. руб. Также в 2024 году заключено соглашение в отношении реконструкции, эксплуатации и техническому обслуживанию бани по адресу: г. Пермь, Газеты Звезда, 38;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bCs/>
          <w:sz w:val="28"/>
          <w:szCs w:val="28"/>
          <w:shd w:val="clear" w:fill="auto"/>
        </w:rPr>
        <w:t xml:space="preserve">ПКР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«Объем инвестиций, привлеченных в рамках заключенных соглашений о реализации МЧП, концессионных соглашений по итогам реализации приоритетных инвестиционных проектов» составляет 17 286,0 млн. руб. или 103,3 % от планового значения. Показатель перевыполнен в связи с увеличением размера фактически вложенных инвестиций от плановых значений по инвестиционным проектам.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1.2.2 «Продвижение города Перми в качестве территории для инвестиций»: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1.2.2.1.1 «Взаимодействие с Агентством инвестиционного развития Пермского края по поиску и привлечению российских и иностранных инвесторов»: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в рамках взаимодействия с государственным бюджетным учреждением Пермского края «Агентство инвестиционного развития» проведено и принято участие в 4 заседаниях Советов по экономике муниципальных образованиях Пермского края, на которых рассматривались вопросы, направленные на привлечение инвесторов для реализации инвестиционных проектов (100 % от планового значения).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1.2.2.1.2 «Экспертно-консультационное сопровождение и предоставление доступа к информационно-аналитическим ресурсам в сфере МЧП», уточненный план финансирования за отчетный период исполнен в сумме 99,000 тыс. руб. (исполнение 100 %):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оказано 26 экспертно-консультационных услуг АНО «Национальный центр ГЧП», путем онлайн-консультаций в мессенджере «</w:t>
      </w:r>
      <w:r>
        <w:rPr>
          <w:rFonts w:ascii="Times New Roman" w:hAnsi="Times New Roman" w:cs="Times New Roman"/>
          <w:sz w:val="28"/>
          <w:szCs w:val="28"/>
          <w:shd w:val="clear" w:fill="auto"/>
          <w:lang w:val="en-US"/>
        </w:rPr>
        <w:t xml:space="preserve">whatsapp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». «telegram» и телефонным консультированием, по вопросам в сфере МЧП в части структурирования инвестиционных проектов, планируемых к реализации на принципах МЧП и содействия в привлечении инвестиций в город Пермь.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1.2.2.1.3 «Сопровождение инвестиционного проекта по принципу «одного окна»: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на Инвестиционном портале города Перми в разделе «Инвесторам» подразделе «Реестр инвестиционных площадок» размещен перечень инвестиционных площадок (свободных земельных участков) с указанием имеющейся инфраструктуры, количество которых составляет 32 ед. или 100 %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инвестиционных проектов, по которым ведется сопровождение, в т.ч. по принципу «одного окна» составляет 12 ед. (ООО «Труменс-Групп», ООО «Проектное бюро», ООО «Актив-Недвижимость» - 2 проекта, ООО «Партнер Сервис», ООО «Прерогатива», ООО «ЭКСО Проперти», ООО «Прикамская гипсовая компания», ООО «Мира Инвест», ООО «Альтаир», ИП Блинова О.В., ООО «ПФ «ОРТА»), что соответствует 300 % от планового значения. Перевыполнение показателя связано с тем, что по итогам встреч с деловыми сообществами в период с 19.12.2024 по 28.12.2024 в ДЭПП поступили обращения от инициаторов инвестиционных проектов, после рассмотрения которых, инвестиционные проекты взяты на сопровождение.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1.2.2.1.4 «Проведение оценки регулирующего воздействия (далее – ОРВ) принимаемых проектов нормативных правовых актов (далее – НПА) и экспертизы принятых муниципальных НПА»: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процедуру ОРВ прошли 165 проектов муниципальных НПА, значение показателя «количество проектов НПА, прошедших процедуру ОРВ» составляет 101 %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экспертиза муниципальных НПА на территории муниципального образования «город Пермь» проводилась в соответствии с Планом проведения экспертизы на 2024 год, утвержденным Главой города Перми 20 декабря 2023 года (далее – План экспертизы). В План экспертизы на 2024 год были включены 3 муниципальных нормативных правовых актов: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Решение Пермской городской Думы от 24.03.2015 № 68 «О плате за земельные участки, находящиеся в муниципальной собственности»;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Решение Пермской городской Думы от 20.11.2012 № 256 «Об утверждении Положения о приватизации муниципального имущества города Перми»;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Постановление администрации города Перми от 15.07.2015 № 465 «Об утверждении Единого регламента сопровождения инвестиционных проектов по принципу «одного окна» в городе Перми».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 мероприятие 1.2.2.1.5 «Обновление инвестиционного паспорта города Перми, инвестиционного портала города Перми, изготовление информационных материалов, организация форумов, презентационных мероприятий», план финансирования за отчетный период исполнен в сумме 319,800 тыс. руб. (исполнение 100 %):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проведены мероприятия по актуализации инвестиционного паспорта города Перми: сформирован инвестиционный паспорт города Перми, разработан дизайн-макет паспорта, напечатано 100 брошюр (100 % от планового значения);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проведены мероприятия по изготовлению брошюр «Инвестиционные предложения города Перми»: в брошюрах отражена информация об инвестиционных предложения администрации города Перми для потенциальных инвесторов с указанием инвестиционных площадок и технико-экономических параметров объектов в сферах физической культуры и спорта, досуга и туризма, также отражена информация об инвестиционных площадках для реализации проектов в сфере промышленного производства напечатано 208 информационных материалов (100 % от планового значения);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проведены мероприятия по актуализации Инвестиционного портала города Перми в части актуализации наглядного видеоконтента размещения инвестиционных площадок на местности, возможных для предоставления на торгах, в рамках приоритетного инвестиционного проекта, концессионного соглашения, соглашения о муниципально-частного партнерстве, количество посещений Инвестиционного портала города Перми составляет 43400 или 116 % от планового значения. Показатель перевыполнен в связи с востребованностью данного портала, повышенным интересом у инвесторов;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принято участие в мероприятии: </w:t>
      </w:r>
      <w:r>
        <w:rPr>
          <w:rFonts w:ascii="Times New Roman" w:hAnsi="Times New Roman" w:cs="Times New Roman"/>
          <w:sz w:val="28"/>
          <w:szCs w:val="28"/>
          <w:shd w:val="clear" w:fill="auto"/>
          <w:lang w:val="en-US"/>
        </w:rPr>
        <w:t xml:space="preserve">XVIII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Камский форум профессионалов рынка недвижимости, который состоялся 11-12 сентября 2024 года. Основная тема форума «Стимулирование рынка жилищного строительства через новые механизмы взаимодействия застройщиков, промпредприятий и органов власти».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bCs/>
          <w:sz w:val="28"/>
          <w:szCs w:val="28"/>
          <w:shd w:val="clear" w:fill="auto"/>
        </w:rPr>
        <w:t xml:space="preserve">Значение ПКР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«Объем инвестиций в основной капитал (за исключением бюджетных средств) в расчете на 1 жителя» составляет 117,6 тыс. руб. или 99,7%. Вместе с тем по сравнению с 2023 годом отмечен рост данного показателя;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bCs/>
          <w:sz w:val="28"/>
          <w:szCs w:val="28"/>
          <w:shd w:val="clear" w:fill="auto"/>
        </w:rPr>
        <w:t xml:space="preserve">ПКР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«Наличие актуального инвестиционного паспорта города Перми», «Наличие актуального Инвестиционного портала города Перми» достигнуты.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Наиболее значимыми мероприятиями реализации подпрограммы 1.2 «Формирование благоприятной инвестиционной среды» являются: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администрацией города Перми 21.10.2024 заключено соглашение о муниципально-частном партнерстве по реконструкции, эксплуатации и техническому обслуживанию здания бани по адресу: г. Пермь, ул. Газеты Звезда, 38;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одобрены инвестиционные проекты с объемом инвестиций от 80 млн. руб. до 100 млн. руб. в количестве 3 ед., которые получили статус «муниципальный приоритетный инвестиционный проект»: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«Спортивный клуб бразильского джиу-джитсу»;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«Строительство крытого футбольного манежа»;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«Расширение производства реагентов для цветной металлургии, нефтедобычи и минеральных добавок для сельского хозяйства»;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увеличение проектов, взятых на сопровождение в режиме «одного окна» до 12 проектов.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Подпрограмма 1.3. Создание условий для развития малого и среднего предпринимательства».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1.3.1 «Развитие инфраструктуры для поддержки малого и среднего предпринимательства»: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1.3.1.1.1 «стимулирование развития предпринимательской деятельности», план финансирования за отчетный период исполнен в сумме 10 342,365 тыс. руб. (исполнение - 99,7%):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информационная поддержка осуществлялась МКУ «Пермский бизнес-инкубатор» в форме индивидуальных консультаций СМСП (80 ед., 100,0% от планового значения), мероприятий по основам ведения бизнеса, финансовой грамотности и иным навыкам предпринимательской деятельности, в том числе построению бизнес-моделей (58 ед., 116,0% от планового значения), мероприятий, направленных на развитие социального и креативного предпринимательства, в том числе среди молодежи (6 ед., 100,0% от планового значения), семинаров в сфере закупок в соответствии с Федеральным законом № 44-ФЗ (4 ед., 100,0% от планового значения). Мероприятия по информационной и консультационной поддержке СМСП проводились в целях информирования по региональным мерам финансовой поддержки (займы на льготных условиях, поручительство по банковским кредитам и займам, доступность заемных финансовых ресурсов, кредиты на выгодных условиях, гранты социальным предприятиям и молодым субъектам малого и среднего предпринимательства, льготный лизинг оборудования, меры поддержки в сфере туризма), по оказанию консультационной поддержки (маркетинг и сбыт, бизнес-планирование, проектная деятельность, работа на электронных площадках, налогообложение и бухгалтерский учет), образовательной поддержки (семинары, вебинары), на которых рассматривались следующие темы: «построение бизнес-модели», «финансовый инструмент построения бизнеса», «управленческая грамотность», «автоматизация продаж» и др.;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количество информационных сообщений, размещенных в сети «Интернет», в том числе на сайте МКУ «Пермский бизнес-инкубатор», составило 138 ед. или 172,5% от планового значения, увеличение значения показателя связано с необходимостью освещения большого количества мероприятий, проходящих в центре «Мой бизнес», информирования СМСП о новых и существующих мерах поддержки для субъектов предпринимательства и самозанятых граждан;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1.3.1.1.2 «взаимодействие по вопросам развития малого и среднего предпринимательства»: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проведено 5 заседаний Совета по предпринимательству и улучшению инвестиционного климата при Главе города Перми (100,0% от планового значения);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размещено 24 информационных сообщения об участии и проведении мероприятий Агентства по развитию малого и среднего предпринимательства Пермского края (100,0% от планового значения), информация размещалась на Инвестиционном портале города Перми;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направлена информация для размещения на региональных информационных ресурсах, в том числе в разделе «Управляем вместе для бизнеса» интерактивного портала «Управляем вместе»;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направлено 4 запроса-информации по вопросам ведения Единого реестра СМСП, развития института самозанятости в рамках взаимодействия с ИФНС по Пермскому краю;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1.3.1.2.1 «Организация мероприятий по включению объектов в перечень муниципального имущества, предназначенного для предоставления в аренду СМСП и организациям образующим инфраструктуру поддержки СМСП и самозанятым гражданам (далее - Перечень)»: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проведено 5 презентационных мероприятий по демонстрации свободных объектов недвижимого имущества с указанием основных характеристик имущества: Свердловский район, ул. Героев Хасана, 16, ул. Братская, 14; Мотовилихинский район, бульвар Гагарина, 30Б; Индустриальный район, проспект Декабристов, 6; Орджоникидзевский район, ул. Александра Щербакова, 25 (100,0% от планового значения);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направлено 1 предложение в адрес департамента имущественных отношений администрации города Перми по включению объектов в Перечень (100,0% от планового значения), по следующим адресам: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г. Пермь, Орджоникидзевский район, ул. Александра Щербакова, 25 (кадастровый номер 59:01:3812287:46), площадью 45 кв.м;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г. Пермь, Свердловский район, ул. Братская, 14 (кадастровый номер 59:01:4311979:2714), площадью 24,6 кв.м;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объектов, включенных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гражданам» составляет 19 ед. по итогам 2024 года (в соответствии с решением Пермской городской Думы от 28.06.2016 № 138 (в ред. от 22.10.2024) «Об утверждении Перечня муниципального имущества города Перми, предназначенного для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доход»), или 106,0%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1.3.1.4.1.1 «Предоставление оборудованных рабочих мест резидентами МКУ»: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количество резидентов составляет 13 ед.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Плановое значение объема финансирование составляет 2647,040 тыс. руб., фактическое – 2407,953 тыс. руб. Исполнение объема финансирование составило 91% в связи с переходящим остатком на 2025 год в размере 239,087 тыс. руб. согласно муниципальному контракту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получателей поддержки малого и среднего предпринимательства» составляет 686 ед. или 100,9%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мероприятий, направленных на поддержку малого и среднего предпринимательства» составляет 147 ед. или 105,0%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участников мероприятий, обученных основам ведения бизнеса, финансовой грамотности и навыкам предпринимательской деятельности» составляет 503 чел. или 100,6%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увеличение значений ПКР связано с востребованностью и значимостью проведения дополнительных мероприятий по поддержке малого и среднего предпринимательства, по обучению основам ведения бизнеса, финансовой грамотности и иным навыкам предпринимательской деятельности и соответственно увеличением участников этих мероприятий;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объектов, включенных в перечень муниципального имущества, предназначенного для предоставления в аренду СМСП, организациям образующим инфраструктуру поддержки СМСП и самозанятым гражданам» составляет 19 ед. или 105,6%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Задача 1.3.2 «Популяризация предпринимательства»</w:t>
      </w:r>
      <w:r>
        <w:rPr>
          <w:rFonts w:ascii="Times New Roman" w:hAnsi="Times New Roman" w:eastAsia="Arial" w:cs="Arial" w:eastAsiaTheme="minorEastAsia" w:cstheme="minorBidi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1.3.2.1.1 «Выявление предпринимательских способностей и мотивации к созданию собственного бизнеса у лиц, имеющих предпринимательский потенциал»: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поддержка осуществлялась МКУ «Пермский бизнес-инкубатор» в форме индивидуальных консультаций по вопросам создания собственного бизнеса (161 ед.), онлайн-, офлайн-мероприятий. Основные темы мероприятий: «Как разработать план проекта для гранта», «Как подобрать систему налогообложения», «Выбор между ООО и ИП», «Переход на УСН», «Процессы управления персоналом», «Как повысить рентабельность собственных инвестиций», «Разбор стратегий развития бизнеса», «SWOT-Анализ», «Программа старт», «Разбор стратегий развития бизнеса», «Разработка маркетинговой стратегии», «Развитие предпринимательских навыков», «Организация системы сбыта», «Разработка рекламной кампании» и прочие (90 ед., количество просмотров онлайн-мероприятий 55 000 ед.), мастер-классов, направленных на развитие профессиональных компетенций (5 ед., количество участников 50 чел.), по темам: «Построение бизнес-моделей», «Бизнес-планирование», «Эффективное мышление как ресурс», «Искусство убеждения: как закрывать сделки с высокой конверсией и увеличивать продажи». Для учащихся образовательных учебных заведений проведены мероприятия по вопросам формирования предпринимательских компетенций и качеств (3 ед.) на темы: «Бизнес с нуля. Как начать свое дело», «Как сохранить и развить свой бизнес в условиях нынешней экономической ситуации», «Налоги для самозанятых. Кто вправе стать самозанятым. Как зарегистрироваться.» Все значения показателей достигнуты.;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1.3.2.1.2 «Организация мероприятий по созданию благоприятных условий деятельности для самозанятых граждан»: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проведено 4 семинара по вопросам деятельности самозанятых граждан или 100,0% от планового значения, семинары проводились по темам: «Организация деятельности самозанятых граждан», «Кто такой самозанятый и как им стать, бухгалтерские тонкости», «Налоги для самозанятых», «Преимущества специального налогового режима»;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1.3.2.1.3 «Реализация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«Интернет»: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проведена информационная кампания по популяризации предпринимательства, включающая продвижение образа предпринимателя (100,0% от планового значения), посредством размещения информационных сообщений в телеграм-канале департамента экономики и промышленной политики администрации города Перми, МКУ «Пермский бизнес-инкубатор», на инвестиционном портале администрации города Перми, на сайте МКУ «Пермский бизнес-инкубатор» и социальной сети «В Контакте». В информационной сети Интернет размещалась актуальная информация о мерах консультационной поддержки МКУ «Пермский бизнес-инкубатор» в форме проведения семинаров, мастер-классов, индивидуальных консультаций по созданию и ведению бизнеса, консультационной поддержки Центра «Мой бизнес», информация о приеме заявок на участие в создании инфраструктуры для автотуризма, отбор на получение гранта «Агростартап», информация о приеме заявок на «Акселератор НТИ», «Особенности подготовки заявки по программе «БИЗНЕС-СТАРТ», информация о важных изменениях в законодательстве, которые коснуться предпринимателей, «Как бизнесу оценить эффективность рекламы», финансовой поддержки АО «Микрофинансовая компания Пермского края», АО «Корпорация развития малого и среднего предпринимательства Пермского края»;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размещено 7 публикаций о реализации успешных стартап-проектов или 175,0% от планового значения (компании Ceneral Bionic, «Сейфнет», проект «Patent Generator» и др).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проведено анкетирование по выявлению предпринимательского потенциала, количество охваченных лиц составило 208 чел. или 104,0% от планового значения. По результатам выявлено, что в целом в городе Перми существуют благоприятные условия для открытия бизнеса, созданы условия для начала и ведения бизнеса. При проведении анкетирования была выявлена потребность респондентов в получении дополнительного образования. Самым востребованным направлением оказались тренинги, вебинары на тему предпринимательства и посещение очных коротких семинаров. Интерес у респондентов вызвал вопрос: «О каких организациях и мерах поддержки и развития предпринимательства вы слышали». Респондентами отмечено, что существующая инфраструктура поддержки бизнеса способствует информированности представителей малого и среднего предпринимательства.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мероприятий, направленных на популяризацию малого и среднего предпринимательства составляет 276 ед. или 109,5%  от планового значения. Увеличение значения ПКР связано с актуальностью и востребованностью проведения дополнительных мероприятий по обучению основам ведения бизнеса, финансовой грамотности и иным навыкам предпринимательской деятельности.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«Доля вновь зарегистрированных СМСП в общем количестве СМСП» составило 14,2% или 88,8% от планового значения, уменьшение значения связано с развитием института самозанятых;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самозанятых граждан» составляет 98,7 тыс. чел. или 168,7% от планового значения, значительное увеличение количества самозанятых граждан связано с официальной занятостью на рынке труда и переходом микробизнеса и индивидуальных предпринимателей на более удобный налоговый режим, в котором минимизирована налоговая нагрузка, а также предоставлением самозанятым возможности участвовать в программах кредитно-гарантийной поддержки, а также возможностью привлечением микрозаймов на льготных условиях в государственных и муниципальных микрофинансовых организациях;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Задача 1.3.3 «Развитие инновационного предпринимательства»: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1.3.3.1.1 «Проведение мероприятий, направленных на развитие инновационного предпринимательства», план финансирования за отчетный период исполнен в сумме 1 672,700 тыс. руб. (исполнение - 100,0%):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в рамках мероприятий «Дни пермского бизнеса» для предпринимателей проведено 2 мероприятия: XV региональный форум «Дни пермского бизнеса» 22-23 мая 2024 года и форум «Империя красоты», который проходил 23 мая 2024 года. Участие в мероприятиях приняли более 8 400 чел. (участники мероприятия присоединились к событию в офлайн- и онлайн-режиме) или 280,0% от планового значения ПНР «количество участников мероприятий «Дни Пермского бизнеса».</w:t>
      </w:r>
      <w:r>
        <w:rPr>
          <w:rFonts w:ascii="Times New Roman" w:hAnsi="Times New Roman" w:eastAsia="Arial" w:cs="Times New Roman" w:eastAsiaTheme="minorEastAsia"/>
          <w:strike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Активное привлечение к участию в данном форуме зарубежных компаний, приглашение к участию популярных спикеров, проведенные сессии, конференции, мастер-классы, демонстрация новых технологий, наличие эксклюзивного контента, созданные условия для нетворкинга, в которых участники могли налаживать контакты в неформальной обстановке, значительно  повысили спрос к проводимому мероприятию среди представителей бизнеса</w:t>
      </w:r>
      <w:r>
        <w:rPr>
          <w:rFonts w:ascii="Times New Roman" w:hAnsi="Times New Roman" w:eastAsia="Arial" w:cs="Times New Roman" w:eastAsiaTheme="minorEastAsia"/>
          <w:strike/>
          <w:sz w:val="28"/>
          <w:szCs w:val="28"/>
          <w:shd w:val="clear" w:fill="auto"/>
        </w:rPr>
        <w:t xml:space="preserve">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- мероприятие 1.3.3.1.2 «Реализация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производств», план финансирования за отчетный период исполнен в сумме 200,0 тыс. руб. (исполнение - 100,0%):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поддержка СМСП в области инноваций и промышленного производства осуществлялась совместно с Фондом содействия инновациям, который реализует на территории города Перми программы инновационного развития, направленные на создание новых высокотехнологичных компаний;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в отчетном году было запланировано и проведено 10 семинаров, в рамках которых осуществлялось методическое сопровождение 148 участников федеральных программ инновационного развития.;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участников мероприятий, направленных на развитие инновационного предпринимательства» составило 8 548 чел. или 273,1% от планового значения, увеличение значения показателя обусловлено активным участием СМСП в мероприятиях, связанных с процессом использования инноваций, достижения технического прогресса, нововведений разного рода в целях развития предпринимательской деятельности;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значение ПКР «Количество СМСП, получившие гранты по результатам конкурсов научно-технических и инновационных проектов» составило 10 ед.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Наиболее значимыми мероприятиями реализации подпрограммы 1.3 «Создание условий для развития малого и среднего предпринимательства» являются: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организация и проведение 2 мероприятий для предпринимателей «Дни пермского бизнеса» в 2024 году - форум «Дни пермского бизнеса» и форум «Империя красоты»;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организа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ция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 и проведе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ние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Фондом содействия инновация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м 10 семинаров для субъектов малого и среднего предпринимательства города Перми, 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одной из целей которых является привлечение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к участию в грантовые конкурсы малых наукоемких предприятий, направленных на создание новых и развитие действующих высокотехнологических компаний.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В рамках реализации федерального проекта «Платформа Университетского технологического предпринимательства» Ф</w:t>
      </w: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ондом содействия инновациям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в 2024 году проведены грантовые конкурсы по следующим направлениям: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«Студенческий стартап» (далее - Студенческий стартап) целью которого является масштабное привлечение студентов ПГНИУ, ПГТАУ, ПНИПУ, ПГНИ, ПГГП в технологическое предпринимательство, создание студенческих стартапов, направленных на формирование инновационных продуктов.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Приоритетными направлениями отбора стартап-проектов стали: микроэлектроника, беспилотные летательные аппараты, станкостроение, искусственный интеллект, цифровые технологии, персонализированная медицина, агробиотехнологии;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и конкурс по программе «СТАРТ», направленный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исследований, находящихся на начальной стадии развития и имеющих значительный потенциал коммерциализации.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sz w:val="28"/>
          <w:szCs w:val="28"/>
          <w:shd w:val="clear" w:fill="auto"/>
        </w:rPr>
        <w:t xml:space="preserve">По итогам 2024 года по 17 проектам принято решение о предоставлении гранта, 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 составил более 80,0 млн. руб.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Такие проекты, как «Разработка программного обеспечения для дистанционного мониторинга здоровья с использованием искусственного интеллекта», «Навигатор SLAM - cистема визуальной ориентации и навигации внутри помещений на основании анализа», «Создание лидара на базе поворотно-отклоняющей системы», «Разработка программного обеспечения для централизованного управления цифровым контентом и запуска цифрового контента с использованием пространственных вычислений для мобильных устройств», «Разработка программного обеспечения для дистанционного мониторинга здоровья с использованием искусственного интеллекта», «Организация производства многофункциональных композиционных панелей по запатентованной технологии», «Разработка системы предотвращения производства брака и несчастных случаев на промышленных предприятиях». Информация по итогам проведения конкурсов в рамках федеральных программ размещена на Инвестиционном портале города Перми в разделе «Малое и среднее предпринимательство/ Статистические данные»;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Активную информационную и консультационную поддержку СМСП оказывает </w:t>
      </w: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МКУ «Пермский бизнес-инкубатор».</w:t>
      </w: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 На постоянной основе МКУ «Пермский бизнес-инкубатор проводит индивидуальные консультации, организовывает и реализует мероприятия (лекции, семинары, мастер-классы, тренинги), направленные на развитие социального, технологического и креативного предпринимательства, в том числе среди молодежи.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С целью создания условий для развития технологического предпринимательства на территории города Перми в августе 2024 года в пользование Бизнес-инкубатору переданы нежилые помещения площадью 413,6 кв.м, расположенные в Технопарке Morion Digital по адресу: г.Пермь, ш. Космонавтов, 111д. Нежилые помещения состоят из 23 рабочих мест, 7 офисов на 30 рабочих мест, лектория, комнат отдыха и других помещений общего пользования. Рабочие места и офисные помещения предоставляются резидентам Пермского бизнес-инкубатора на условиях льготной аренды.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На данной площадке Бизнес-инкубатор оказывает содействие в доработке идей и бизнес-проектов резидентов, в привлечении внешних экспертов и трекеров для бизнес-акселерации стартапов. Оказывает содействие в решение юридических вопросов, маркетинге, финансовом планировании, искусстве презентации и многом другом.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По итогам 2024 года количество резидентов Бизнес-инкубатора в сфере технологического предпринимательства составило 13 ед.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 w:eastAsia="Arial" w:cs="Times New Roman" w:eastAsiaTheme="minorEastAsia"/>
          <w:strike/>
          <w:color w:val="000000"/>
          <w:sz w:val="28"/>
          <w:szCs w:val="28"/>
          <w:highlight w:val="none"/>
          <w:shd w:val="clear" w:fill="auto"/>
          <w:lang w:eastAsia="ru-RU"/>
        </w:rPr>
      </w:pPr>
      <w:r>
        <w:rPr>
          <w:rFonts w:ascii="Times New Roman" w:hAnsi="Times New Roman" w:eastAsia="Arial" w:cs="Times New Roman" w:eastAsiaTheme="minorEastAsia"/>
          <w:strike/>
          <w:color w:val="000000"/>
          <w:sz w:val="28"/>
          <w:szCs w:val="28"/>
          <w:shd w:val="clear" w:fill="auto"/>
          <w:lang w:eastAsia="ru-RU"/>
        </w:rPr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fill="auto"/>
        </w:rPr>
        <w:t xml:space="preserve">Подпрограмма 1.4 «Развитие потребительского рынка».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1.4.1 «Создание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1.4.1.1.1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Размещение нестационарных торговых объектов (далее - НТО) в соответствии со Схемой размещения нестационарных объектов (далее - Схемой НТО), автостоянок открытого типа (далее - АСОТ) на территории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актуализирована Схема НТО, утвержденная постановлением администрации города Перми от 02.08.2018 № 521, в соответствии с требованиями постановления Правительства Пермского края от 28.11.2017 № 966-п «Об утверждении Порядка разработки и утверждения схемы размещения нестационарных торговых объектов», действующая Схема НТО включает 511 мест размещения НТО;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согласно Схеме НТО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количество НТО, размещенных на основании договоров на размещение, составляет 214 ед.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АСОТ, размещенных на основании договоров аренды, составляет 39 ед.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«Доля НТО, размещенных в местах, определенных в Схеме НТО, в общем количестве мест, определенных Схемой НТО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 составляет 42,0%,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значение ПКР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«Доля установленных типовых НТО в общем количестве размещенных НТО по типологии» составляет 87,0%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1.4.2 «Упорядочение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Установка РК в соответствии со Схемой размещения рекламных конструкций (далее - Схемой РК)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актуализирована Схема РК, утвержденная решением Пермской городской Думы от 23.08.2016 № 171, и включает 626 мест размещения РК;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согласно Схеме РК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количество РК, размещенных на основании договоров и разрешений на установку и эксплуатацию РК, составляет 567 ед. или 100% от планового значения,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1.4.2.1.2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Обследование ОПР, размещенных на территории города Перми, на предмет соответствия действующему законодательству»: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362 обследования НТО на предмет соблюдения условий договора НТО или 100,0% от планового значения;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546 обследования РК на предмет соблюдения условий договора РК или 100,0% от планового значения,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1.4.2.1.3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Мониторинг и учет ОПР»,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уточненный план финансирования за отчетный период на техническое сопровождение системы исполнен в сумме 1351,709 тыс. руб. (исполнение – 100,0%)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учет объектов потребительского рынка обеспечивает автоматизированная информационная система «Объекты потребительского рынка»;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1.4.2.1.4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потребительского рынка»: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сформирована 51 сводная информация о практике составления протоколов в соответствии с Законом Пермского края от 06.04.2015 № 460-ПК «Об административных правонарушениях в Пермском крае» (еженедельно);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демонтировано 95 самовольно установленных и незаконно размещенных объектов потребительского рынка расположенных на территории города Перми в принудительном порядке (исполнение - 81,2%). Снижение значения показателя связано с проведением работ по демонтажу самовольно установленных и незаконно размещенных объектов потребительского рынка в добровольном порядке их собственниками.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1.4.2.1.5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Реализация мероприятий по снижению задолженности по договорам на установку и эксплуатацию РК, на размещение НТО»: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план мероприятий по снижению задолженности утвержден постановлением администрации города Перми от 15.02.2013 № 81 «Об утверждении Программы по реализации мероприятий, направленных на снижение задолженности по неналоговым платежам в бюджет города Перми» (далее - Программа по реализации мероприятий, направленных на снижение задолженности) и включает 10 мероприятий, отчеты о выполнении плана мероприятий по снижению задолженности по договорам на размещение РК и НТО составлялись ежеквартально и направлялись в департамент финансов в установленные сроки, что соответствует плановым значениям; 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работа по снижению задолженности проводится в соответствии с Программой по реализации мероприятий, направленных на снижение задолженности, в результате проведенных мероприятий сумма поступления средств в бюджет города составила 0,900 тыс. руб.;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1.4.2.1.6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Информирование субъектов, осуществляющих предпринимательскую деятельность, о правилах размещения объектов потребительского рынка»: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размещено 20 информационных сообщений или 100,0% от планового значения, публикуется информация о вступлении в силу требований об обязательной маркировке продукции легкой промышленности, табакосодержащей продукции, упакованной воды, обувных товаров, о последствиях самовольного и незаконного размещения объектов потребительского рынка и информация о проведении торгов;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 ПКР «Доля РК, установленных в местах, определенных в Схеме РК, в общем количестве мест, определенных Схемой РК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 составляет 91,0%, (исполнение – 101,1%);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 ПКР «Доля самовольно установленных и незаконно размещенных ОПР на территории города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составляет 3,2%, или 170,9% от планового значения, снижение значения показателя связано с проведением мероприятий, направленных на демонтаж самовольно установленных и незаконно размещенных ОПР на территории города Перми;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 ПКР «Объем задолженности по договорам РК, договорам НТО (без учета пеней и штрафов)»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составляет 2,9 млн. руб. при плановом значении 0,3 млн. руб., недостижение показателя связано с увеличением задолженности  по договорам НТО (нарушение платежной дисциплины);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1.4.3 «Популяризация сферы торговли и услуг»: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1.4.3.1.1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Развитие общедоступной сети предприятий общественного питания, включая сеть быстрого питания»: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рассмотрено 31 мотивированное предложение по включению в Схему НТО объектов общественного питания, включая сеть быстрого питания, или 100,0% от планового значения,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Задача 1.4.3 «Популяризация сферы торговли и услуг»: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мероприятие 1.4.3.1.2 «Повышение социальной ориентации торговли»: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12 мониторингов цен на социально значимые товары, что соответствует планому значению показателя;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МКУ «Пермский бизнес-инкубатор» проведено 5 мероприятий или 125,0% от планового значения по вопросам развития социального предпринимательства в сфере торговли и услуг, которые включали в себя проведение круглого стола на тему «Развитие муниципалитетов в контуре креативного предпринимательства, включая социальные проекты», мастер-класса по открытию развивающих центров дополнительного образования, встречу с потенциальными участниками программ Фонда президентских грантов, проведение урока ФМШ «Параметр» для детей с ОВЗ;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1.4.3.1.3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Повышение привлекательности торговой деятельности в удаленных районах города»: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сформировано 8 перечней территорий города с низким уровнем обеспеченности услугами торговли, общественного питания, бытового обслуживания населения, что соответствует плановому значению,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подготовлено 8 предложений по открытию новых объектов потребительского рынка с учетом проведения исследований тенденций развития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рассмотрено 10 мотивированных предложений по включению в Схему НТО объектов в удаленных районах города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или 100,0% от планового значения;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1.4.3.1.4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Информирование о мероприятиях в сфере развития рынка товаров и услуг»: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 составляет 36 ед.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100,0% от планового значения, проводится информирование о проведении семинаров и форумов в сфере розничной торговли и проведении ярмарочных мероприятий;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1.4.3.2.1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Анализ фактического состояния сферы потребительского рынка города Перми (объекты торговли, общественного питания и бытового обслуживания)»: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информационных систем, обеспечивающих мониторинг стационарных ОПР составляет 1 ед., что соответствует плановому значению,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подготовлено 2 аналитических записки по результатам проведения мониторинга стационарных ОПР или 100,0% от планового значения,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1.4.3.2.2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Определение тенденций развития стационарных ОПР с учетом изменений спроса населения»: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предложения по размещению объектов при подготовке проекта планировки/межевания территории формировались ежемесячно, значение показателя составляет 12 ед. (100,0% от планового значения), которые направлялись в департамент градостроительства и архитектуры администрации города Перми, департамент земельных отношений администрации города Перми,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МКУ, составляет 16 ед., что соответствует плановому значению,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сформирована аналитическая информация по развитию отраслей потребительского рынка города Перми, что соответствует плановому значению,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- мероприятие 1.4.3.3.1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Ежегодный конкурс на лучшее оформление предприятий города Перми к Новому году (далее - конкурс)»,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уточненный план финансирования за отчетный период исполнен в сумме 440,940 тыс. руб. (исполнение – 100,0%)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в конкурсе на лучшее оформление предприятий города Перми к Новому 2024 году приняло участие 108 предприятие города Перми или 100,0% от планового значения, по результатам конкурса определено 12 победителей;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значение ПКР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» составляет 41% или 100,0% от планового значения, информация;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значение ПКР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«Наличие концепции развития торговли в городе Перми» достигнуто.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Задача 1.4.4 «Организация и проведение ярмарочных мероприятий на территории города Перми: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мероприятие 1.4.4.1.1 «Проведение на территории города Перми ярмарок и продажи товаров (выполнения работ, оказания услуг) на них (далее - ярмарка), уточненный план финансирования за отчетный период исполнен в сумме 8 825,32 тыс. руб. (исполнение - 99,6,0%):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в соответствии с Планом планируемых ярмарочных мероприятий на территории города Перми проведено 616 ярмарочных дней, организовано 7 068 торговых мест, что составляет 100,0% от плановых значений;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мероприятие 1.4.4.1.2 «Содействие в развитии продаж фермерской (экологически чистой) продукции»: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количество торговых мест, предоставленных фермерским хозяйствам на ярмарках, составляет 2 487 ед. или 100,0% от планового значения. В 2024 году в ярмарочных мероприятиях принимали участие известные фермеры Перми и Пермского края, а также Агрофирма «Шадейка» - производитель мясных продуктов и полуфабрикатов, производители меда и продуктов пчеловодства ООО «Тавлан», СПК «Колхоз им. Чапаева» - производитель молочной продукции и др.;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мероприятие 1.4.4.1.3 «Предоставление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 план финансирования за отчетный период исполнен в сумме 3 771,687 тыс. руб. (исполнение - 93,1%). На снижение % исполнения повлияла экономия денежных средств по закупкам для муниципальных нужд, ошибка в интеграции документов из системы в ЕИС в АЦК-Финансы.: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в целях создания условий для реализации населением собственно выращенной и собственно собранной продукции, изделий народных промыслов на территории города Перми установлено 114 торговых прилавков, количество предоставленных торговых мест на них - 228 ед., что соответствует плановым значениям,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значение ПКР «Доля проведенных ярмарочных дней от общего количества планируемых ярмарочных дней» составляет 100,0% от планового значения,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значения ПКР «Доля местных сельхозпроизводителей в общем количестве участников ярмарочных мероприятий» составляет 59,4%, что составляет 99,0%.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Наиболее значимыми мероприятиями реализации подпрограммы 1.4 «Развитие потребительского рынка» являются: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проведение ярмарочных мероприятий. В течение календарного года во всех районах города Перми были организованы ярмарочные мероприятия. На каждой ярмарке, проводимой с использованием шатров, было организовано не менее 20 торговых мест. Участие в ярмарках для пермских товаропроизводителей осуществлялось на безвозмездной основе. В 2024 году проведены такие тематические ярмарки как: Праздничная на Масленицу, Пасхальная, Яблочный спас, Новогодняя. Также в период проведения городских ярмарок на территории туристического центра города Перми работали ярмарочные домики, в которых жители и гости города имели возможность приобрести украшения пермских дизайнеров, сувенирную продукцию ремесленников г. Перми и Пермского края - изделия из натуральной кожи, бересты, камня и др.;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Arial" w:cs="Times New Roman" w:eastAsiaTheme="minorEastAsia"/>
          <w:color w:val="000000"/>
          <w:sz w:val="28"/>
          <w:szCs w:val="28"/>
          <w:shd w:val="clear" w:fill="auto"/>
          <w:lang w:eastAsia="ru-RU"/>
        </w:rPr>
        <w:t xml:space="preserve">- в целях реализации проекта «Размещение торговых прилавков на территории города Перми» проведена работа по предоставлению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промыслов. На сегодняшний день на 28 площадках города установлено 114 прилавков, рассчитанных на 228 торговых мест.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Подпрограмма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 xml:space="preserve"> 1.5.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Развитие туризма в городе Перми».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Задача 1.5.1 «Содействие развитию туристического потенциала города Перми»: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1.5.1.1.1 «Взаимодействие по вопросам продвижения туристических продуктов на территории города Перми»: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2 заседания Координационного совета по туризму и туристской деятельности в городе Перми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100,0% от планового значения: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05 сентября 2024 года по рассмотрению основных туристических мероприятий за истекший период 2024 года и введение туристического налога;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19 декабря 2024 года по вопросам рассмотрения основных туристических мероприятий за второе полугодие 2024 года, о новых туристических продуктах 2024 года, об открытии новых отелей в городе Перми.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1.5.1.1.2 «Оказание содействия предпринимателям в сфере туризма в продвижении туристических предложений»: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3 мероприятия с предпринимателями в сфере туризма по вопросам продвижения новых программ и туристических маршрутов, что соответствует плановому значению:</w:t>
      </w:r>
    </w:p>
    <w:p>
      <w:pPr>
        <w:pStyle w:val="Default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shd w:val="clear" w:fill="auto"/>
          <w:lang w:eastAsia="ar-SA"/>
        </w:rPr>
        <w:t xml:space="preserve">21 марта 2024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проведена презентация гастрономических туристических возможностей и аутентичной пермской кухни для туроператоров города Перми;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22 августа 2024 года рабочая встреча с представителями гостиничного бизнеса по вопросу введения туристического налога в городе Перми;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27 сентября 2024 года презентация для гидов и туроператоров музея сладостей «Конфектория»;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специализированных туристских форумов, в которых принято участие предпринимателями города Перми при содействии администрации города, составляет 2 ед.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100,0% от планового значения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1) Сибирскоий туристический форум «Дикоросы» (03-05.04.2024) в г. Новосибирск. В форуме приняли участие представители кафе коми-пермяцкой кухни "Чоскыт Керку" с презентацией и мастер-классом.                                      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2) Всероссийский круизный форум (02-04 октября 2024). В рамках форума эксперты индустрии со всей страны обсуждают перспективы и планы реализации Концепции развития круизного туризма в России и транспортной стратегии РФ, партнёрство бизнеса и власти в направлении водных путешествий, подготовку кадров для отрасли и другие вопросы. В форуме приняли участи ведущие круизные туроператоры города Перми "ВолгаVolga", "Кубань", "Кама-тевел".;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1.5.1.1.3 «Информирование о туристских ресурсах города Перми»: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в информационно-телекоммуникационной сети Интернет размещено 60</w:t>
      </w: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информационных сообщений, что соответствует плановому значению,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 проведении событийных мероприятий, семинаров, вебинаров для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заинтересованных лиц, о конкурсах на получения грантовых поддержек, о мерах поддержки в сфере туризма;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1.5.1.2.1 «Аренда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организованы стенды города на 3 туристических выставках, форумах, в которых принято участие,  или 100,0% от планового значения: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1. Форум «Дикоросы» (г. Новосибирск);                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2. Форум «Путешествуй 2024» (г. Москва);                           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3.  Форум </w:t>
      </w:r>
      <w:r>
        <w:rPr>
          <w:rFonts w:ascii="Times New Roman" w:hAnsi="Times New Roman" w:cs="Times New Roman"/>
          <w:sz w:val="28"/>
          <w:szCs w:val="28"/>
          <w:shd w:val="clear" w:fill="auto"/>
          <w:lang w:val="en-US"/>
        </w:rPr>
        <w:t xml:space="preserve">SIFT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(г. Сочи).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организован пресс-тур с участием журналистов средств массовой информации (100,0 % планового значения) 29 мая – 01 июня 2024 года, 13-16 декабря 2024 года;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проведено презентационное мероприятие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на всероссийском дне MICE-2024 (г. Москва);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количество видов информационных материалов составляет 4 ед., что соответствует плановому значению, это буклет с картой города Перми, буклет гармошка с достопримечательностями города, открытка, лифлет «Экскурсионный туристический автобус 300т», стикер пак с символами города Перми,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уточненный план финансирования мероприятия за отчетный период исполнен в сумме 4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 351,000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  <w:t xml:space="preserve"> тыс. руб. (исполнение – 100,0%);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1.5.1.2.2 «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»: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сформирован событийный календарь (100,0% планового значения), в котором были анонсированы лучшие туристические события города Перми,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единый календарь культурных и туристских событий дважды опубликован на Инвестиционном портале города Перми в разделе «Туризм», что соответствует плановому значению;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- мероприятие 1.5.1.3.1 «Оказание информационно-консультационной поддержки малому и среднему предпринимательству в развитии туристического сектора»: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направлено 5 информационно-консультационных сообщений (100,0% планового значения) для СМСП в сфере туризма об обучении специалистов в сфере туризма, о мерах пожарной безопасности на объектах туристической инфраструктуры, о необходимости регистрации туристских групп, о конкурсных отборах на предоставлнеи грантов, приглашение к участию в онлайн-конференции компании "Авиасейлс";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«Количество вновь созданных туристических продуктов (нарастающим итогом) составляет 3 ед., что составляет 100 % от планового значения.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«Численность размещенных лиц в коллективных средствах размещения» составляет 379,5 тыс. чел., что составляет 116,2 % от планового значения. Прирост численности размещенных лиц в коллективных средствах размещения составил 21,7 %, что составляет 461,7% от планового значения. Увеличение значения показателя произошло в связи с развитием туристической отрасли. 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Значение ПКР «Численность иногородних круизных туристов» составило 20 тыс. чел, что соответствует плановому значению показателя, исполнение составляет 100%.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fill="auto"/>
        </w:rPr>
        <w:t xml:space="preserve">Наиболее значимыми мероприятиями реализации подпрограммы 1.5 «Развитие туризма в городе Перми»:</w:t>
      </w:r>
    </w:p>
    <w:p>
      <w:pPr>
        <w:pStyle w:val="Normal"/>
        <w:numPr>
          <w:numId w:val="0"/>
          <w:ilvl w:val="0"/>
        </w:numPr>
        <w:shd w:val="clear" w:color="auto" w:fill="ffffff"/>
        <w:spacing w:before="0"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В мае и декабре 2024 года администрация города Перми организовала и провела пресс-туры для журналистов федеральных СМИ и блогеров.</w:t>
      </w:r>
      <w:r>
        <w:rPr>
          <w:rFonts w:ascii="Times New Roman" w:hAnsi="Times New Roman" w:cs="Times New Roman"/>
          <w:color w:val="666666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Туры 2024 года были организованы администрацией Перми с целью популяризации туризма в городе Перми. По итогам пресс-туров издания и блогеры опубликовали фоторепортажи, видео контент, статьи в журналах, где подробно описали свои впечатления о Перми как о новом направлении для внутреннего туризма. </w:t>
      </w:r>
    </w:p>
    <w:p>
      <w:pPr>
        <w:pStyle w:val="Normal"/>
        <w:numPr>
          <w:numId w:val="0"/>
          <w:ilvl w:val="0"/>
        </w:numPr>
        <w:shd w:val="clear" w:color="auto" w:fill="ffffff"/>
        <w:spacing w:before="0"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В июне 2024 года  - всероссийский туристический форум «Путешествуй» г.Москва – совместное участие администрации года Перми с Министерством по туризму Пермского края.</w:t>
      </w: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Вместе с администрацией города Перми туристический потенциал города представили компании «Промобот», «Тенториум» и ООО «Автобик» с проектом экскурсионного автобуса «Пермь 300. Город на Каме». Форум является платформой делового общения государства и бизнеса с целью обсуждения актуальных вопросов отрасли, государственной политики, инвестиционного климата в сфере туризма. В рамках форума состоялось знакомство с потенциальными партнерами туристской отрасли и туристическими предложениями регионов России. Организатором форума выступил Фонд Росконгресс.</w:t>
      </w:r>
      <w:r>
        <w:rPr>
          <w:rFonts w:ascii="Times New Roman" w:hAnsi="Times New Roman" w:cs="Times New Roman"/>
          <w:color w:val="061946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Форум проходит при официальной поддержке Министерства экономического развития РФ, Комитета Государственной Думы по туризму и развитию туристической инфраструктуры, АНО «Национальные приоритеты», Ассоциации туроператоров России и других отраслевых объединений.</w:t>
      </w:r>
    </w:p>
    <w:p>
      <w:pPr>
        <w:pStyle w:val="Normal"/>
        <w:numPr>
          <w:numId w:val="0"/>
          <w:ilvl w:val="0"/>
        </w:numPr>
        <w:shd w:val="clear" w:color="auto" w:fill="ffffff"/>
        <w:spacing w:before="0"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  <w:lang w:eastAsia="ru-RU"/>
        </w:rPr>
        <w:t xml:space="preserve">В декабре 2024 года в Москве состоялась презентация города Перми «Пермь. Из прошлого в будущее» в рамках форума «Развитие делового туризма в регионах России» и 15-ой Всероссийской Премии в области делового и событийного туризма «День MICE в регионах России». Презентацию посетили около 200 представителей туроператоров, гостиниц, прессы, а также организаторы деловых мероприятий Санкт-Петербурга, Москвы, Ленинградской области, Нижнего Новгорода и других регионов России. Гости презентации высоко оценили развитие города, туроператоры узнали больше о нашем городе, как о туристической точке России. </w:t>
      </w:r>
    </w:p>
    <w:p>
      <w:pPr>
        <w:pStyle w:val="Normal"/>
        <w:numPr>
          <w:numId w:val="0"/>
          <w:ilvl w:val="0"/>
        </w:numPr>
        <w:shd w:val="clear" w:color="auto" w:fill="ffffff"/>
        <w:spacing w:before="0"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cs="Times New Roman"/>
          <w:sz w:val="28"/>
          <w:szCs w:val="28"/>
          <w:shd w:val="clear" w:fill="auto"/>
        </w:rPr>
        <w:t xml:space="preserve">По результатам сотрудничества администрации города Перми с предпринимателем ООО «Автобик» в 2024 году был успешно расширен  туристический продукт экскурсионный автобус Маршрут 300Т «Город на Каме». В рамках проекта были запущены новые маршруты «Пермская феерия», «Пермь вечерняя. Истории о любви».</w:t>
      </w:r>
    </w:p>
    <w:p>
      <w:pPr>
        <w:pStyle w:val="Normal"/>
        <w:spacing w:before="0"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fill="auto"/>
        </w:rPr>
      </w:r>
    </w:p>
    <w:sectPr>
      <w:headerReference w:type="default" r:id="rId6"/>
      <w:type w:val="nextPage"/>
      <w:pgSz w:w="11906" w:h="16838"/>
      <w:pgMar w:top="1135" w:right="565" w:bottom="851" w:left="1418" w:header="72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Tahoma">
    <w:panose1 w:val="020B0604030504040204"/>
  </w:font>
  <w:font w:name="Open Sans">
    <w:panose1 w:val="020B0606030504020204"/>
  </w:font>
  <w:font w:name="Consolas">
    <w:panose1 w:val="020B0609020204030204"/>
  </w:font>
  <w:font w:name="Wingdings">
    <w:panose1 w:val="05000000000000000000"/>
  </w:font>
  <w:font w:name="Myriad Pro">
    <w:panose1 w:val="05050102010205020202"/>
  </w:font>
  <w:font w:name="Symbol">
    <w:panose1 w:val="05050102010706020507"/>
  </w:font>
  <w:font w:name="StarSymbol">
    <w:panose1 w:val="05050102010205020202"/>
  </w:font>
  <w:font w:name="Cambria">
    <w:panose1 w:val="02040503050406030204"/>
  </w:font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Lohit Devanagari">
    <w:panose1 w:val="05050102010205020202"/>
  </w:font>
  <w:font w:name="Droid Sans Fallback">
    <w:panose1 w:val="05050102010205020202"/>
  </w:font>
  <w:font w:name="Wingdings 2">
    <w:panose1 w:val="05020102010507070707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/>
    <w:r/>
    <w:r>
      <w:fldChar w:fldCharType="separate"/>
    </w:r>
    <w:r/>
    <w:r/>
    <w:r>
      <w:fldChar w:fldCharType="end"/>
    </w:r>
    <w:sdt>
      <w:sdtPr>
        <w:id w:val="352070735"/>
      </w:sdtPr>
      <w:sdtContent>
        <w:r/>
        <w:r>
          <w:t xml:space="preserve"> PAGE   \* MERGEFORMAT 2</w:t>
        </w:r>
      </w:sdtContent>
    </w:sdt>
  </w:p>
  <w:p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 w:val="true"/>
  <w:characterSpacingControl w:val="doNotCompress"/>
  <w:compat>
    <w:compatSetting w:name="compatibilityMode" w:uri="http://schemas.microsoft.com/office/word" w:val="12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200" w:line="276" w:lineRule="auto"/>
      <w:jc w:val="left"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paragraph" w:styleId="Heading1" w:customStyle="1">
    <w:name w:val="Heading 1"/>
    <w:basedOn w:val="Normal"/>
    <w:qFormat/>
    <w:pPr>
      <w:keepNext/>
      <w:spacing w:before="0" w:after="0" w:line="240" w:lineRule="auto"/>
      <w:jc w:val="center"/>
      <w:outlineLvl w:val="0"/>
    </w:pPr>
    <w:rPr>
      <w:rFonts w:ascii="Times New Roman" w:hAnsi="Times New Roman" w:eastAsia="Times New Roman" w:cs="Times New Roman"/>
      <w:b/>
      <w:i/>
      <w:sz w:val="32"/>
      <w:szCs w:val="32"/>
      <w:lang w:eastAsia="ru-RU"/>
    </w:rPr>
  </w:style>
  <w:style w:type="paragraph" w:styleId="Heading2" w:customStyle="1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semiHidden/>
    <w:unhideWhenUsed/>
    <w:qFormat/>
    <w:pPr>
      <w:keepNext/>
      <w:keepLines/>
      <w:spacing w:before="200" w:after="0"/>
      <w:outlineLvl w:val="4"/>
    </w:pPr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</w:rPr>
  </w:style>
  <w:style w:type="paragraph" w:styleId="Heading6" w:customStyle="1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 w:customStyle="1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 w:customStyle="1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 w:customStyle="1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</w:style>
  <w:style w:type="character" w:styleId="FooterChar" w:customStyle="1">
    <w:name w:val="Footer Char"/>
    <w:basedOn w:val="DefaultParagraphFont"/>
    <w:uiPriority w:val="99"/>
    <w:qFormat/>
  </w:style>
  <w:style w:type="character" w:styleId="CaptionChar" w:customStyle="1">
    <w:name w:val="Caption Char"/>
    <w:uiPriority w:val="99"/>
    <w:qFormat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5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/>
    </w:rPr>
  </w:style>
  <w:style w:type="character" w:styleId="WW8Num3z0" w:customStyle="1">
    <w:name w:val="WW8Num3z0"/>
    <w:qFormat/>
    <w:rPr>
      <w:rFonts w:ascii="Symbol" w:hAnsi="Symbol"/>
    </w:rPr>
  </w:style>
  <w:style w:type="character" w:styleId="WW8Num4z0" w:customStyle="1">
    <w:name w:val="WW8Num4z0"/>
    <w:qFormat/>
    <w:rPr>
      <w:rFonts w:ascii="Symbol" w:hAnsi="Symbol"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 w:cs="StarSymbol"/>
      <w:sz w:val="18"/>
      <w:szCs w:val="18"/>
    </w:rPr>
  </w:style>
  <w:style w:type="character" w:styleId="WW8Num7z1" w:customStyle="1">
    <w:name w:val="WW8Num7z1"/>
    <w:qFormat/>
    <w:rPr>
      <w:rFonts w:ascii="Wingdings 2" w:hAnsi="Wingdings 2" w:cs="StarSymbol"/>
      <w:sz w:val="18"/>
      <w:szCs w:val="18"/>
    </w:rPr>
  </w:style>
  <w:style w:type="character" w:styleId="WW8Num7z2" w:customStyle="1">
    <w:name w:val="WW8Num7z2"/>
    <w:qFormat/>
    <w:rPr>
      <w:rFonts w:ascii="StarSymbol" w:hAnsi="StarSymbol" w:cs="StarSymbol"/>
      <w:sz w:val="18"/>
      <w:szCs w:val="18"/>
    </w:rPr>
  </w:style>
  <w:style w:type="character" w:styleId="Absatz-Standardschriftart" w:customStyle="1">
    <w:name w:val="Absatz-Standardschriftart"/>
    <w:qFormat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9z0" w:customStyle="1">
    <w:name w:val="WW8Num9z0"/>
    <w:qFormat/>
    <w:rPr>
      <w:rFonts w:ascii="Wingdings" w:hAnsi="Wingdings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1" w:customStyle="1">
    <w:name w:val="Основной шрифт абзаца1"/>
    <w:qFormat/>
  </w:style>
  <w:style w:type="character" w:styleId="Style6" w:customStyle="1">
    <w:name w:val="Основной текст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2" w:customStyle="1">
    <w:name w:val="Основной текст с отступом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7" w:customStyle="1">
    <w:name w:val="Символ нумерации"/>
    <w:qFormat/>
  </w:style>
  <w:style w:type="character" w:styleId="Style8" w:customStyle="1">
    <w:name w:val="Маркеры списка"/>
    <w:qFormat/>
    <w:rPr>
      <w:rFonts w:ascii="StarSymbol" w:hAnsi="StarSymbol" w:eastAsia="StarSymbol" w:cs="StarSymbol"/>
      <w:sz w:val="18"/>
      <w:szCs w:val="18"/>
    </w:rPr>
  </w:style>
  <w:style w:type="character" w:styleId="Style9" w:customStyle="1">
    <w:name w:val="Символ сноски"/>
    <w:qFormat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Style10" w:customStyle="1">
    <w:name w:val="Текст Знак"/>
    <w:uiPriority w:val="99"/>
    <w:qFormat/>
    <w:rPr>
      <w:rFonts w:ascii="Consolas" w:hAnsi="Consolas" w:eastAsia="Calibri" w:cs="Consolas"/>
      <w:sz w:val="21"/>
      <w:szCs w:val="21"/>
    </w:rPr>
  </w:style>
  <w:style w:type="character" w:styleId="Apple-converted-space" w:customStyle="1">
    <w:name w:val="apple-converted-space"/>
    <w:basedOn w:val="DefaultParagraphFont"/>
    <w:qFormat/>
  </w:style>
  <w:style w:type="character" w:styleId="11" w:customStyle="1">
    <w:name w:val="Основной текст1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styleId="Style11" w:customStyle="1">
    <w:name w:val="Абзац списка Знак"/>
    <w:basedOn w:val="DefaultParagraphFont"/>
    <w:uiPriority w:val="34"/>
    <w:qFormat/>
    <w:rPr>
      <w:rFonts w:ascii="Calibri" w:hAnsi="Calibri" w:eastAsia="Calibri" w:cs="Calibri"/>
      <w:sz w:val="22"/>
      <w:szCs w:val="22"/>
      <w:lang w:eastAsia="ar-S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Fga" w:customStyle="1">
    <w:name w:val="fg_a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A4" w:customStyle="1">
    <w:name w:val="A4"/>
    <w:uiPriority w:val="99"/>
    <w:qFormat/>
    <w:rPr>
      <w:rFonts w:cs="Myriad Pro"/>
      <w:b/>
      <w:bCs/>
      <w:color w:val="000000"/>
      <w:sz w:val="32"/>
      <w:szCs w:val="32"/>
    </w:rPr>
  </w:style>
  <w:style w:type="character" w:styleId="A3" w:customStyle="1">
    <w:name w:val="A3"/>
    <w:uiPriority w:val="99"/>
    <w:qFormat/>
    <w:rPr>
      <w:rFonts w:cs="Myriad Pro"/>
      <w:b/>
      <w:bCs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uiPriority w:val="99"/>
    <w:qFormat/>
    <w:rPr>
      <w:rFonts w:ascii="Calibri" w:hAnsi="Calibri" w:eastAsia="Calibri" w:cs="Calibri"/>
      <w:sz w:val="22"/>
      <w:szCs w:val="22"/>
      <w:lang w:eastAsia="ar-SA"/>
    </w:rPr>
  </w:style>
  <w:style w:type="character" w:styleId="Style13" w:customStyle="1">
    <w:name w:val="Нижний колонтитул Знак"/>
    <w:basedOn w:val="DefaultParagraphFont"/>
    <w:semiHidden/>
    <w:qFormat/>
    <w:rPr>
      <w:rFonts w:ascii="Calibri" w:hAnsi="Calibri" w:eastAsia="Calibri" w:cs="Calibri"/>
      <w:sz w:val="22"/>
      <w:szCs w:val="22"/>
      <w:lang w:eastAsia="ar-SA"/>
    </w:rPr>
  </w:style>
  <w:style w:type="character" w:styleId="Hl-obj" w:customStyle="1">
    <w:name w:val="hl-obj"/>
    <w:basedOn w:val="DefaultParagraphFont"/>
    <w:qFormat/>
  </w:style>
  <w:style w:type="character" w:styleId="5" w:customStyle="1">
    <w:name w:val="Заголовок 5 Знак"/>
    <w:basedOn w:val="DefaultParagraphFont"/>
    <w:semiHidden/>
    <w:qFormat/>
    <w:rPr>
      <w:rFonts w:ascii="Cambria" w:hAnsi="Cambria" w:eastAsia="Arial" w:cs="Arial" w:asciiTheme="majorHAnsi" w:hAnsiTheme="majorHAnsi" w:eastAsiaTheme="majorEastAsia" w:cstheme="majorBidi"/>
      <w:color w:val="243f60" w:themeColor="accent1" w:themeShade="7F"/>
      <w:sz w:val="22"/>
      <w:szCs w:val="22"/>
      <w:lang w:eastAsia="ar-SA"/>
    </w:rPr>
  </w:style>
  <w:style w:type="character" w:styleId="12" w:customStyle="1">
    <w:name w:val="Верхний колонтитул Знак1"/>
    <w:basedOn w:val="DefaultParagraphFont"/>
    <w:uiPriority w:val="99"/>
    <w:semiHidden/>
    <w:qFormat/>
    <w:rPr>
      <w:rFonts w:ascii="Calibri" w:hAnsi="Calibri" w:eastAsia="Calibri" w:cs="Calibri"/>
      <w:sz w:val="22"/>
      <w:szCs w:val="22"/>
      <w:lang w:eastAsia="ar-SA"/>
    </w:rPr>
  </w:style>
  <w:style w:type="character" w:styleId="13" w:customStyle="1">
    <w:name w:val="Нижний колонтитул Знак1"/>
    <w:basedOn w:val="DefaultParagraphFont"/>
    <w:uiPriority w:val="99"/>
    <w:semiHidden/>
    <w:qFormat/>
    <w:rPr>
      <w:rFonts w:ascii="Calibri" w:hAnsi="Calibri" w:eastAsia="Calibri" w:cs="Calibri"/>
      <w:sz w:val="22"/>
      <w:szCs w:val="22"/>
      <w:lang w:eastAsia="ar-SA"/>
    </w:rPr>
  </w:style>
  <w:style w:type="paragraph" w:styleId="Style14" w:customStyle="1">
    <w:name w:val="Заголовок"/>
    <w:basedOn w:val="Normal"/>
    <w:next w:val="BodyText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">
    <w:name w:val="List"/>
    <w:basedOn w:val="BodyText"/>
    <w:rPr>
      <w:rFonts w:cs="Tahoma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/>
    </w:pPr>
    <w:rPr>
      <w:i/>
    </w:rPr>
  </w:style>
  <w:style w:type="paragraph" w:styleId="EndnoteText" w:customStyle="1">
    <w:name w:val="Endnote Text"/>
    <w:basedOn w:val="Normal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TOC1" w:customStyle="1">
    <w:name w:val="TOC 1"/>
    <w:basedOn w:val="Normal"/>
    <w:uiPriority w:val="39"/>
    <w:unhideWhenUsed/>
    <w:pPr>
      <w:spacing w:before="0" w:after="57"/>
    </w:pPr>
  </w:style>
  <w:style w:type="paragraph" w:styleId="TOC2" w:customStyle="1">
    <w:name w:val="TOC 2"/>
    <w:basedOn w:val="Normal"/>
    <w:uiPriority w:val="39"/>
    <w:unhideWhenUsed/>
    <w:pPr>
      <w:spacing w:before="0" w:after="57"/>
      <w:ind w:left="283"/>
    </w:pPr>
  </w:style>
  <w:style w:type="paragraph" w:styleId="TOC3" w:customStyle="1">
    <w:name w:val="TOC 3"/>
    <w:basedOn w:val="Normal"/>
    <w:uiPriority w:val="39"/>
    <w:unhideWhenUsed/>
    <w:pPr>
      <w:spacing w:before="0" w:after="57"/>
      <w:ind w:left="567"/>
    </w:pPr>
  </w:style>
  <w:style w:type="paragraph" w:styleId="TOC4" w:customStyle="1">
    <w:name w:val="TOC 4"/>
    <w:basedOn w:val="Normal"/>
    <w:uiPriority w:val="39"/>
    <w:unhideWhenUsed/>
    <w:pPr>
      <w:spacing w:before="0" w:after="57"/>
      <w:ind w:left="850"/>
    </w:pPr>
  </w:style>
  <w:style w:type="paragraph" w:styleId="TOC5" w:customStyle="1">
    <w:name w:val="TOC 5"/>
    <w:basedOn w:val="Normal"/>
    <w:uiPriority w:val="39"/>
    <w:unhideWhenUsed/>
    <w:pPr>
      <w:spacing w:before="0" w:after="57"/>
      <w:ind w:left="1134"/>
    </w:pPr>
  </w:style>
  <w:style w:type="paragraph" w:styleId="TOC6" w:customStyle="1">
    <w:name w:val="TOC 6"/>
    <w:basedOn w:val="Normal"/>
    <w:uiPriority w:val="39"/>
    <w:unhideWhenUsed/>
    <w:pPr>
      <w:spacing w:before="0" w:after="57"/>
      <w:ind w:left="1417"/>
    </w:pPr>
  </w:style>
  <w:style w:type="paragraph" w:styleId="TOC7" w:customStyle="1">
    <w:name w:val="TOC 7"/>
    <w:basedOn w:val="Normal"/>
    <w:uiPriority w:val="39"/>
    <w:unhideWhenUsed/>
    <w:pPr>
      <w:spacing w:before="0" w:after="57"/>
      <w:ind w:left="1701"/>
    </w:pPr>
  </w:style>
  <w:style w:type="paragraph" w:styleId="TOC8" w:customStyle="1">
    <w:name w:val="TOC 8"/>
    <w:basedOn w:val="Normal"/>
    <w:uiPriority w:val="39"/>
    <w:unhideWhenUsed/>
    <w:pPr>
      <w:spacing w:before="0" w:after="57"/>
      <w:ind w:left="1984"/>
    </w:pPr>
  </w:style>
  <w:style w:type="paragraph" w:styleId="TOC9" w:customStyle="1">
    <w:name w:val="TOC 9"/>
    <w:basedOn w:val="Normal"/>
    <w:uiPriority w:val="39"/>
    <w:unhideWhenUsed/>
    <w:pPr>
      <w:spacing w:before="0" w:after="57"/>
      <w:ind w:left="2268"/>
    </w:pPr>
  </w:style>
  <w:style w:type="paragraph" w:styleId="IndexHeading" w:customStyle="1">
    <w:name w:val="Index Heading"/>
    <w:basedOn w:val="Style14"/>
  </w:style>
  <w:style w:type="paragraph" w:styleId="TOCHeading">
    <w:name w:val="TOC Heading"/>
    <w:uiPriority w:val="39"/>
    <w:unhideWhenUsed/>
    <w:qFormat/>
    <w:pPr>
      <w:widowControl/>
      <w:spacing w:before="0" w:after="0"/>
      <w:jc w:val="left"/>
    </w:pPr>
    <w:rPr>
      <w:rFonts w:ascii="Times New Roman" w:hAnsi="Times New Roman" w:eastAsia="Droid Sans Fallback" w:cs="Lohit Devanagari"/>
      <w:color w:val="auto"/>
      <w:sz w:val="20"/>
      <w:szCs w:val="20"/>
      <w:lang w:val="ru-RU" w:eastAsia="ru-RU" w:bidi="ar-SA"/>
    </w:rPr>
  </w:style>
  <w:style w:type="paragraph" w:styleId="TableofFigures" w:customStyle="1">
    <w:name w:val="Table of Figures"/>
    <w:basedOn w:val="Normal"/>
    <w:uiPriority w:val="99"/>
    <w:unhideWhenUsed/>
    <w:pPr>
      <w:spacing w:before="0" w:after="0"/>
    </w:pPr>
  </w:style>
  <w:style w:type="paragraph" w:styleId="14" w:customStyle="1">
    <w:name w:val="Заголовок1"/>
    <w:basedOn w:val="Normal"/>
    <w:qFormat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15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21" w:customStyle="1">
    <w:name w:val="Основной текст с отступом 21"/>
    <w:basedOn w:val="Normal"/>
    <w:qFormat/>
    <w:pPr>
      <w:spacing w:before="0"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ConsNonformat" w:customStyle="1">
    <w:name w:val="ConsNonformat"/>
    <w:qFormat/>
    <w:pPr>
      <w:widowControl w:val="off"/>
      <w:spacing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ar-SA" w:bidi="ar-SA"/>
    </w:rPr>
  </w:style>
  <w:style w:type="paragraph" w:styleId="L3" w:customStyle="1">
    <w:name w:val="! L=3 !"/>
    <w:basedOn w:val="Normal"/>
    <w:qFormat/>
    <w:pPr>
      <w:spacing w:before="0" w:after="240" w:line="240" w:lineRule="auto"/>
      <w:jc w:val="both"/>
    </w:pPr>
    <w:rPr>
      <w:rFonts w:ascii="Tahoma" w:hAnsi="Tahoma" w:eastAsia="Times New Roman" w:cs="Times New Roman"/>
      <w:sz w:val="24"/>
      <w:szCs w:val="16"/>
    </w:rPr>
  </w:style>
  <w:style w:type="paragraph" w:styleId="BodyText2">
    <w:name w:val="Body Text 2"/>
    <w:basedOn w:val="Normal"/>
    <w:qFormat/>
    <w:pPr>
      <w:spacing w:before="0" w:after="120" w:line="480" w:lineRule="auto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17" w:customStyle="1">
    <w:name w:val="Основной текст с отступом1"/>
    <w:basedOn w:val="Normal"/>
    <w:qFormat/>
    <w:pPr>
      <w:spacing w:before="0" w:after="0" w:line="240" w:lineRule="auto"/>
      <w:ind w:firstLine="709"/>
      <w:jc w:val="both"/>
    </w:pPr>
    <w:rPr>
      <w:rFonts w:ascii="Times New Roman" w:hAnsi="Times New Roman" w:eastAsia="Times New Roman"/>
      <w:sz w:val="28"/>
      <w:szCs w:val="28"/>
    </w:rPr>
  </w:style>
  <w:style w:type="paragraph" w:styleId="18" w:customStyle="1">
    <w:name w:val="Абзац списка1"/>
    <w:basedOn w:val="Normal"/>
    <w:qFormat/>
    <w:pPr>
      <w:ind w:left="720"/>
    </w:pPr>
    <w:rPr>
      <w:rFonts w:eastAsia="Times New Roman" w:cs="Times New Roman"/>
    </w:rPr>
  </w:style>
  <w:style w:type="paragraph" w:styleId="FootnoteText" w:customStyle="1">
    <w:name w:val="Footnote Text"/>
    <w:basedOn w:val="Normal"/>
    <w:semiHidden/>
    <w:rPr>
      <w:rFonts w:eastAsia="Times New Roman" w:cs="Times New Roman"/>
      <w:sz w:val="20"/>
      <w:szCs w:val="20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pPr>
      <w:spacing w:before="0" w:after="120"/>
      <w:ind w:left="283"/>
    </w:pPr>
  </w:style>
  <w:style w:type="paragraph" w:styleId="BodyTextIndent2">
    <w:name w:val="Body Text Indent 2"/>
    <w:basedOn w:val="Normal"/>
    <w:qFormat/>
    <w:pPr>
      <w:spacing w:before="0" w:after="0" w:line="240" w:lineRule="auto"/>
      <w:ind w:firstLine="851"/>
      <w:jc w:val="both"/>
    </w:pPr>
    <w:rPr>
      <w:rFonts w:ascii="Times New Roman" w:hAnsi="Times New Roman" w:eastAsia="Times New Roman"/>
      <w:sz w:val="24"/>
      <w:szCs w:val="24"/>
    </w:rPr>
  </w:style>
  <w:style w:type="paragraph" w:styleId="B-articletext" w:customStyle="1">
    <w:name w:val="b-article__text"/>
    <w:basedOn w:val="Normal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uiPriority w:val="99"/>
    <w:unhideWhenUsed/>
    <w:qFormat/>
    <w:pPr>
      <w:spacing w:before="0" w:after="0" w:line="240" w:lineRule="auto"/>
    </w:pPr>
    <w:rPr>
      <w:rFonts w:ascii="Consolas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pPr>
      <w:spacing w:before="0" w:after="0" w:line="240" w:lineRule="auto"/>
    </w:pPr>
    <w:rPr>
      <w:rFonts w:eastAsia="Calibri" w:cs="Times New Roman" w:eastAsiaTheme="minorHAnsi"/>
      <w:lang w:eastAsia="en-US"/>
    </w:rPr>
  </w:style>
  <w:style w:type="paragraph" w:styleId="Article-blockarticle-block-unstyled" w:customStyle="1">
    <w:name w:val="article-block article-block-unstyled"/>
    <w:basedOn w:val="Normal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pPr>
      <w:widowControl/>
      <w:spacing w:before="0" w:after="0"/>
      <w:jc w:val="left"/>
    </w:pPr>
    <w:rPr>
      <w:rFonts w:ascii="Myriad Pro" w:hAnsi="Myriad Pro" w:eastAsia="Times New Roman" w:cs="Myriad Pro"/>
      <w:color w:val="000000"/>
      <w:sz w:val="24"/>
      <w:szCs w:val="24"/>
      <w:lang w:val="ru-RU" w:eastAsia="ru-RU" w:bidi="ar-SA"/>
    </w:rPr>
  </w:style>
  <w:style w:type="paragraph" w:styleId="Rtejustify" w:customStyle="1">
    <w:name w:val="rtejustify"/>
    <w:basedOn w:val="Normal"/>
    <w:qFormat/>
    <w:pPr>
      <w:spacing w:beforeAutospacing="1" w:afterAutospacing="1" w:line="240" w:lineRule="auto"/>
    </w:pPr>
    <w:rPr>
      <w:rFonts w:ascii="Times New Roman" w:hAnsi="Times New Roman" w:eastAsia="Calibri" w:cs="Times New Roman" w:eastAsiaTheme="minorHAnsi"/>
      <w:sz w:val="24"/>
      <w:szCs w:val="24"/>
      <w:lang w:eastAsia="ru-RU"/>
    </w:rPr>
  </w:style>
  <w:style w:type="paragraph" w:styleId="Style16" w:customStyle="1">
    <w:name w:val="Колонтитул"/>
    <w:basedOn w:val="Normal"/>
    <w:qFormat/>
  </w:style>
  <w:style w:type="paragraph" w:styleId="Header">
    <w:name w:val="Header"/>
    <w:basedOn w:val="Normal"/>
    <w:link w:val="12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Footer">
    <w:name w:val="Footer"/>
    <w:basedOn w:val="Normal"/>
    <w:link w:val="13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  <w:spacing w:before="0" w:after="0" w:line="240" w:lineRule="auto"/>
    </w:pPr>
  </w:style>
  <w:style w:type="paragraph" w:styleId="ConsPlusNormal" w:customStyle="1">
    <w:name w:val="ConsPlus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Style17" w:customStyle="1">
    <w:name w:val="Форма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ConsPlusTitle" w:customStyle="1">
    <w:name w:val="ConsPlusTitle"/>
    <w:basedOn w:val="Normal"/>
    <w:qFormat/>
    <w:pPr>
      <w:spacing w:before="0" w:after="0" w:line="240" w:lineRule="auto"/>
    </w:pPr>
    <w:rPr>
      <w:rFonts w:eastAsia="Calibri" w:eastAsiaTheme="minorHAnsi"/>
      <w:b/>
      <w:bCs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a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customXml" Target="../customXml/item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99609-5E5F-4358-B349-607DB063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52159</Characters>
  <CharactersWithSpaces>59131</CharactersWithSpaces>
  <Company>УЖКХ</Company>
  <Pages>22</Pages>
  <Paragraphs>245</Paragraphs>
  <Template>Normal</Template>
  <TotalTime>300</TotalTime>
  <Words>7060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результатах и основных направлениях деятельности</dc:title>
  <dc:subject/>
  <dc:creator>user</dc:creator>
  <dc:description/>
  <dc:language>ru-RU</dc:language>
  <cp:lastModifiedBy/>
  <cp:revision>45</cp:revision>
  <dcterms:created xsi:type="dcterms:W3CDTF">2024-02-12T03:22:00Z</dcterms:created>
  <dcterms:modified xsi:type="dcterms:W3CDTF">2025-03-28T15:17:38Z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