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0C" w:rsidRPr="00022A0C" w:rsidRDefault="00505AB4" w:rsidP="00022A0C">
      <w:pPr>
        <w:spacing w:after="15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 xml:space="preserve">Аналитическая записка об </w:t>
      </w:r>
      <w:bookmarkStart w:id="0" w:name="_GoBack"/>
      <w:bookmarkEnd w:id="0"/>
      <w:r w:rsidR="00022A0C" w:rsidRPr="00022A0C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инвестиционной деятельности за 2017 год</w:t>
      </w:r>
    </w:p>
    <w:p w:rsidR="001027C2" w:rsidRPr="001027C2" w:rsidRDefault="001027C2" w:rsidP="00022A0C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 12 месяцев 2017 года наблюдалась тенденция роста экономической активности предприятий города Перми. Основные показатели деятельности организаций выросли за период январь - декабрь 2017 года в сравнении с аналогичным периодом 2016 года:</w:t>
      </w:r>
    </w:p>
    <w:p w:rsidR="00EA113F" w:rsidRDefault="001027C2" w:rsidP="00022A0C">
      <w:pPr>
        <w:pStyle w:val="a5"/>
        <w:numPr>
          <w:ilvl w:val="0"/>
          <w:numId w:val="5"/>
        </w:num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113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Оборот крупных и средних организаций по городу вырос на 9,0% в сравнении с аналогичным периодом 2016 года и составил в январе–декабре 2017 года 1 062 770,1 млн.руб.</w:t>
      </w:r>
    </w:p>
    <w:tbl>
      <w:tblPr>
        <w:tblStyle w:val="a6"/>
        <w:tblpPr w:leftFromText="180" w:rightFromText="180" w:vertAnchor="text" w:horzAnchor="margin" w:tblpXSpec="center" w:tblpY="305"/>
        <w:tblW w:w="10752" w:type="dxa"/>
        <w:tblLook w:val="04A0" w:firstRow="1" w:lastRow="0" w:firstColumn="1" w:lastColumn="0" w:noHBand="0" w:noVBand="1"/>
      </w:tblPr>
      <w:tblGrid>
        <w:gridCol w:w="2351"/>
        <w:gridCol w:w="1341"/>
        <w:gridCol w:w="996"/>
        <w:gridCol w:w="434"/>
        <w:gridCol w:w="1469"/>
        <w:gridCol w:w="944"/>
        <w:gridCol w:w="434"/>
        <w:gridCol w:w="1405"/>
        <w:gridCol w:w="996"/>
        <w:gridCol w:w="434"/>
      </w:tblGrid>
      <w:tr w:rsidR="002719F2" w:rsidRPr="001027C2" w:rsidTr="002719F2">
        <w:trPr>
          <w:trHeight w:val="557"/>
        </w:trPr>
        <w:tc>
          <w:tcPr>
            <w:tcW w:w="2351" w:type="dxa"/>
            <w:tcBorders>
              <w:bottom w:val="nil"/>
            </w:tcBorders>
          </w:tcPr>
          <w:p w:rsidR="002719F2" w:rsidRDefault="002719F2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</w:p>
          <w:p w:rsidR="002719F2" w:rsidRDefault="002719F2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</w:p>
          <w:p w:rsidR="002719F2" w:rsidRDefault="002719F2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</w:p>
          <w:p w:rsidR="002719F2" w:rsidRDefault="002719F2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</w:p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Основные показатели</w:t>
            </w:r>
          </w:p>
        </w:tc>
        <w:tc>
          <w:tcPr>
            <w:tcW w:w="1341" w:type="dxa"/>
            <w:tcBorders>
              <w:right w:val="nil"/>
            </w:tcBorders>
          </w:tcPr>
          <w:p w:rsidR="00022A0C" w:rsidRPr="002719F2" w:rsidRDefault="00022A0C" w:rsidP="002719F2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Оборот крупных и средних организаций (по ОКВЭД), млн. руб.</w:t>
            </w:r>
          </w:p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left w:val="nil"/>
              <w:bottom w:val="single" w:sz="4" w:space="0" w:color="auto"/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Объем отгруженной продукции собственного производства, выполненных работ и услуг, млн. руб.</w:t>
            </w: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left w:val="nil"/>
              <w:bottom w:val="single" w:sz="4" w:space="0" w:color="auto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Финансовые результаты деятельности организаций г. Перми, млн. руб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left w:val="nil"/>
            </w:tcBorders>
          </w:tcPr>
          <w:p w:rsidR="00022A0C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2719F2" w:rsidRPr="001027C2" w:rsidTr="002719F2">
        <w:trPr>
          <w:trHeight w:val="375"/>
        </w:trPr>
        <w:tc>
          <w:tcPr>
            <w:tcW w:w="2351" w:type="dxa"/>
            <w:tcBorders>
              <w:top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Январь-декабрь 2017</w:t>
            </w:r>
          </w:p>
        </w:tc>
        <w:tc>
          <w:tcPr>
            <w:tcW w:w="1469" w:type="dxa"/>
            <w:tcBorders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в % к январю-декабрю 2016 г.</w:t>
            </w:r>
          </w:p>
        </w:tc>
        <w:tc>
          <w:tcPr>
            <w:tcW w:w="434" w:type="dxa"/>
            <w:tcBorders>
              <w:lef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Январь-декабрь 2017 г</w:t>
            </w:r>
          </w:p>
        </w:tc>
        <w:tc>
          <w:tcPr>
            <w:tcW w:w="944" w:type="dxa"/>
            <w:tcBorders>
              <w:top w:val="single" w:sz="4" w:space="0" w:color="auto"/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в % к январю-декабрь  2016г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Январь-декабрь 2017 г</w:t>
            </w:r>
          </w:p>
        </w:tc>
        <w:tc>
          <w:tcPr>
            <w:tcW w:w="996" w:type="dxa"/>
            <w:tcBorders>
              <w:right w:val="nil"/>
            </w:tcBorders>
          </w:tcPr>
          <w:p w:rsidR="00022A0C" w:rsidRPr="002719F2" w:rsidRDefault="00022A0C" w:rsidP="00022A0C">
            <w:pPr>
              <w:spacing w:after="150"/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719F2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ru-RU"/>
              </w:rPr>
              <w:t>в % к январю-декабрю 2016 г</w:t>
            </w:r>
          </w:p>
        </w:tc>
        <w:tc>
          <w:tcPr>
            <w:tcW w:w="434" w:type="dxa"/>
            <w:tcBorders>
              <w:left w:val="nil"/>
            </w:tcBorders>
          </w:tcPr>
          <w:p w:rsidR="00022A0C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37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Всего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1 062 770,10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109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764 491,50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112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112 766,50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lang w:eastAsia="ru-RU"/>
              </w:rPr>
              <w:t>114,9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gridAfter w:val="3"/>
          <w:wAfter w:w="2835" w:type="dxa"/>
          <w:trHeight w:val="31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41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88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506,1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485,3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-23,4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46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3 643,70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2 633,80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71 091,40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31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588 991,60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557 532,00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32 146,80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37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114 817,20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106,2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63 874,20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-1 329,60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64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7 668,20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9 109,70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</w:tr>
      <w:tr w:rsidR="00022A0C" w:rsidRPr="001027C2" w:rsidTr="00022A0C">
        <w:trPr>
          <w:trHeight w:val="31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21 676,40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20 650,50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2 714,30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33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222 141,30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6 579,60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2 945,90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</w:tr>
      <w:tr w:rsidR="00022A0C" w:rsidRPr="001027C2" w:rsidTr="00022A0C">
        <w:trPr>
          <w:trHeight w:val="45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12 045,60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12 111,60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9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1 852,80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2 649,00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6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30 256,60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29 278,10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022A0C" w:rsidRPr="001027C2" w:rsidTr="00022A0C">
        <w:trPr>
          <w:trHeight w:val="6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 2,2р.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</w:tr>
      <w:tr w:rsidR="00022A0C" w:rsidRPr="001027C2" w:rsidTr="00022A0C">
        <w:trPr>
          <w:trHeight w:val="64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1 568,50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3 479,30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 11,6р.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9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24 863,40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23 279,80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1 345,10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</w:tr>
      <w:tr w:rsidR="00022A0C" w:rsidRPr="001027C2" w:rsidTr="00022A0C">
        <w:trPr>
          <w:trHeight w:val="12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7 081,00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8 832,50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1 135,60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 6,0р.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132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602,7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471,5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 2,4р.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315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6 758,90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5 270,80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9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деятельность в области здравоохранения и </w:t>
            </w: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16 323,60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16 459,90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</w:tr>
      <w:tr w:rsidR="00022A0C" w:rsidRPr="001027C2" w:rsidTr="00022A0C">
        <w:trPr>
          <w:trHeight w:val="36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1 126,30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1 125,30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в 2,7р.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↑</w:t>
            </w:r>
          </w:p>
        </w:tc>
      </w:tr>
      <w:tr w:rsidR="00022A0C" w:rsidRPr="001027C2" w:rsidTr="00022A0C">
        <w:trPr>
          <w:trHeight w:val="600"/>
        </w:trPr>
        <w:tc>
          <w:tcPr>
            <w:tcW w:w="235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341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846,2</w:t>
            </w:r>
          </w:p>
        </w:tc>
        <w:tc>
          <w:tcPr>
            <w:tcW w:w="1469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94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34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↓</w:t>
            </w:r>
          </w:p>
        </w:tc>
        <w:tc>
          <w:tcPr>
            <w:tcW w:w="1405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-214,9</w:t>
            </w:r>
          </w:p>
        </w:tc>
        <w:tc>
          <w:tcPr>
            <w:tcW w:w="996" w:type="dxa"/>
            <w:hideMark/>
          </w:tcPr>
          <w:p w:rsidR="001027C2" w:rsidRPr="001027C2" w:rsidRDefault="00022A0C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34" w:type="dxa"/>
            <w:hideMark/>
          </w:tcPr>
          <w:p w:rsidR="001027C2" w:rsidRPr="001027C2" w:rsidRDefault="001027C2" w:rsidP="00022A0C">
            <w:pPr>
              <w:spacing w:after="150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0AF3" w:rsidRPr="00F50AF3" w:rsidRDefault="00F50AF3" w:rsidP="00F50AF3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A113F" w:rsidRPr="00EA113F" w:rsidRDefault="00EA113F" w:rsidP="00EA113F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Наибольшее увеличение оборота наблюдается по следующим видам деятельности: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гостиниц и предприятий общественного питания (на 17,7%);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сельское, лесное хозяйство, охота, рыболовство и рыбоводство (на 17,5%);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загрязнении (на 17,0%);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государственное управление и обеспечение военной безопасности, социальное обеспечение (на 15,6%);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обрабатывающее производство (на 14,0%);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административная и сопутствующие дополнительные услуги (на 13,2%);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добыча полезных ископаемых (на 12,5%);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здравоохранения и социальных услуг (на 8,2%);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образование (на 7,3%);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транспортировка и хранение (на 6,5%);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обеспечение электрической энергией, газом и паром; кондиционирование воздуха (на 6,2%);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 (на 4,7 %);</w:t>
      </w:r>
    </w:p>
    <w:p w:rsidR="001027C2" w:rsidRPr="001027C2" w:rsidRDefault="001027C2" w:rsidP="00102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торговля оптовая и розничная; ремонт автотранспортных средств и мотоциклов (на 4,2%).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Несмотря на общее увеличение, по некоторым видам экономической деятельности прослеживается снижение оборота крупных и средних организаций по городу:</w:t>
      </w:r>
    </w:p>
    <w:p w:rsidR="001027C2" w:rsidRPr="001027C2" w:rsidRDefault="001027C2" w:rsidP="0010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по операциям с недвижимым имуществом (на 33,4%);</w:t>
      </w:r>
    </w:p>
    <w:p w:rsidR="001027C2" w:rsidRPr="001027C2" w:rsidRDefault="001027C2" w:rsidP="0010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профессиональная, научная и техническая (на 11,8%);</w:t>
      </w:r>
    </w:p>
    <w:p w:rsidR="001027C2" w:rsidRPr="001027C2" w:rsidRDefault="001027C2" w:rsidP="0010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предоставление прочих услуг (на 7,9%);</w:t>
      </w:r>
    </w:p>
    <w:p w:rsidR="001027C2" w:rsidRPr="001027C2" w:rsidRDefault="001027C2" w:rsidP="0010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строительство (на 5,7%);</w:t>
      </w:r>
    </w:p>
    <w:p w:rsidR="001027C2" w:rsidRPr="001027C2" w:rsidRDefault="001027C2" w:rsidP="001027C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информации и связи (на 1,6%).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Объем отгруженной продукции собственного производства и выполненных работ и услуг по предприятиям города увеличился  на 12,0% в сравнении с аналогичным периодом 2016 года и составил в январе-декабре 2017 года 764 491,5 млн. руб.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Наибольший рост наблюдался по следующим видам деятельности: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финансовая и страховая (в 2,2 раза);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добыча полезных ископаемых (на 21,2%);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торговля оптовая и розничная; ремонт автотранспортных средств и мотоциклов (на 17,5%);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сельское, лесное хозяйство, охота, рыболовство и рыбоводство (на 15,8%);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обрабатывающее производство (на 14,8%);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обеспечение электрической энергией, газом и паром; кондиционирование воздуха (на 11,8%);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гостиниц и предприятий общественного питания (на 10,8%);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образование (на 9,6%);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культуры, спорта, организации досуга и развлечений (на 9,4%);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водоснабжение; водоотведение, организация сбора и утилизации отходов, деятельность по ликвидации загрязнении (на 9,4%);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здравоохранения и социальных услуг (на 7,9%);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транспортировка и хранение (на 7,3%);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административная и сопутствующие дополнительные услуги (на 7,2%);</w:t>
      </w:r>
    </w:p>
    <w:p w:rsidR="001027C2" w:rsidRPr="001027C2" w:rsidRDefault="001027C2" w:rsidP="001027C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профессиональная, научная и техническая (на 3,6%).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Несмотря на общее увеличение, по некоторым видам экономической деятельности прослеживается снижение объема отгруженной продукции собственного производства и выполненных работ и услуг по предприятиям города:</w:t>
      </w:r>
    </w:p>
    <w:p w:rsidR="001027C2" w:rsidRPr="001027C2" w:rsidRDefault="001027C2" w:rsidP="001027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по операциям с недвижимым имуществом (на 20,4%);</w:t>
      </w:r>
    </w:p>
    <w:p w:rsidR="001027C2" w:rsidRPr="001027C2" w:rsidRDefault="001027C2" w:rsidP="001027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предоставление прочих видов услуг (на 17,9%);</w:t>
      </w:r>
    </w:p>
    <w:p w:rsidR="001027C2" w:rsidRPr="001027C2" w:rsidRDefault="001027C2" w:rsidP="001027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строительство (на 6,9%);</w:t>
      </w:r>
    </w:p>
    <w:p w:rsidR="001027C2" w:rsidRPr="001027C2" w:rsidRDefault="001027C2" w:rsidP="001027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государственное управление и обеспечение военной безопасности, социальное обеспечение (на 3,5%).</w:t>
      </w:r>
    </w:p>
    <w:p w:rsidR="001027C2" w:rsidRPr="001027C2" w:rsidRDefault="001027C2" w:rsidP="001027C2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деятельность в области информации и связи (на 1,7%).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3. Финансовые результаты деятельности организаций города Перми за январь – декабрь 2017 года увеличились на 14,9% в сравнении с аналогичным периодом 2016 года и составили 112766,5 млн. руб., среднемесячная заработная плата работников крупных и средних предприятий города за период с января по май 2017 года составила 41291,1 рублей (рост по сравнению с 2016 годом составил 6,4 %).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4. Инвестиции в основной капитал по крупным и средним предприятиям за январь–декабрь 2017 года по оперативной информации составили 87,359 млрд. руб.(на 5,9% больше аналогичного периода 2016 года).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 установленном плане на 2017 год в размере 87,15 млрд. руб. (согласно муниципальной программе «Экономическое развитие города Перми» Постановление администрации г. Перми от 18.10.2016 №862) инвестиции за 2017 год составили 100,24% от годового плана.</w:t>
      </w:r>
    </w:p>
    <w:p w:rsidR="001027C2" w:rsidRPr="001027C2" w:rsidRDefault="001027C2" w:rsidP="001027C2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1027C2" w:rsidRPr="001027C2" w:rsidRDefault="001027C2" w:rsidP="001027C2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Инвестиций в основной капитал по крупным и средним предприятиям наколенным итогом по кварталам за 2016 по 2017 годы, млн.руб.</w:t>
      </w:r>
    </w:p>
    <w:p w:rsidR="001027C2" w:rsidRPr="001027C2" w:rsidRDefault="001027C2" w:rsidP="001027C2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BB0458" wp14:editId="3AA2A080">
            <wp:extent cx="6160135" cy="4042410"/>
            <wp:effectExtent l="0" t="0" r="0" b="0"/>
            <wp:docPr id="3" name="Рисунок 3" descr="http://invest.gorodperm.ru/upload/others/Snimok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vest.gorodperm.ru/upload/others/Snimok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404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C2" w:rsidRPr="001027C2" w:rsidRDefault="001027C2" w:rsidP="001027C2">
      <w:pPr>
        <w:spacing w:after="15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01B6A85" wp14:editId="26D24A4F">
                <wp:extent cx="300990" cy="300990"/>
                <wp:effectExtent l="0" t="0" r="0" b="0"/>
                <wp:docPr id="6" name="AutoShape 10" descr="Неизвестный объек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Неизвестный объект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Можно отметить, что видовая структура инвестиций по сравнению с аналогичным периодом 2016 года    изменилась следующим образом: произошло  увеличение инвестиций в сооружения (на 5,25%); инвестиций в основной капитал - прочие (на 3,41%), Уменьшились инвестиции в прочие машины и оборудование, включая хозяйственный инвентарь и другие объекты (на 5,65%), в здания (кроме жилых) (на 0,46%),  в жилища (на 1,31%), в транспортные средства (на 1,23%).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Инвестирование в основной капитал за январь-декабрь 2017 года производилось за счет собственных средств предприятий – 65,877 млн. руб. – 75,41% от общего объема инвестиций, при этом привлеченные средства составили 21482,02 млн. руб., что составляет 24,59% от общего объема инвестиций. Необходимо отметить, что в аналогичном периоде 2016 года собственные средства составили 76,04%, а привлеченные 23,96% от общего объема инвестиций.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Среди привлеченных средств за 12 месяцев 2017 года наибольшую долю в общем объеме инвестиций составили бюджетные средства – 11,45%; прочие средства – 4,76%; заемные средства других организаций – 3,61%; средства организаций и населения, привлеченные для долевого строительства – 2,86%;   кредиты банков – 1,46%; средства внебюджетных фондов - 0,35%.</w:t>
      </w:r>
    </w:p>
    <w:p w:rsidR="001027C2" w:rsidRPr="001027C2" w:rsidRDefault="001027C2" w:rsidP="001027C2">
      <w:pPr>
        <w:spacing w:after="15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027C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Производственные и непроизводственные объекты, введенные в эксплуатацию в 2017 году: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97"/>
        <w:gridCol w:w="3990"/>
        <w:gridCol w:w="2835"/>
      </w:tblGrid>
      <w:tr w:rsidR="001027C2" w:rsidRPr="001027C2" w:rsidTr="001027C2"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Наименование объекта (площадь)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1B1B1"/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1027C2" w:rsidRPr="001027C2" w:rsidTr="001027C2">
        <w:trPr>
          <w:gridAfter w:val="1"/>
          <w:wAfter w:w="2835" w:type="dxa"/>
        </w:trPr>
        <w:tc>
          <w:tcPr>
            <w:tcW w:w="6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45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1 квартал 2017</w:t>
            </w:r>
          </w:p>
        </w:tc>
      </w:tr>
      <w:tr w:rsidR="001027C2" w:rsidRPr="001027C2" w:rsidTr="001027C2"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ЧП Кузьмичев Д.В.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Спортивно-оздоровительный комплекс по ул.Тихая,4, участок 1 (1288,44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ул.Николая Островского, 44а</w:t>
            </w:r>
          </w:p>
        </w:tc>
      </w:tr>
      <w:tr w:rsidR="001027C2" w:rsidRPr="001027C2" w:rsidTr="001027C2"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«Компания ПЕРМСКИЕ ОВОЩИ»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комплекса по хранению овощей с увеличением площади для размещения транспортно-эксплуатационного участка (3442,5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Бродовский тракт, 15</w:t>
            </w:r>
          </w:p>
        </w:tc>
      </w:tr>
      <w:tr w:rsidR="001027C2" w:rsidRPr="001027C2" w:rsidTr="001027C2"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«УралСервис-Инвест»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Административно-торговое здание по ул.Мира,37 (17301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ул.Мира, 37</w:t>
            </w:r>
          </w:p>
        </w:tc>
      </w:tr>
      <w:tr w:rsidR="001027C2" w:rsidRPr="001027C2" w:rsidTr="001027C2"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Чернецкий В.И.</w:t>
            </w:r>
          </w:p>
        </w:tc>
        <w:tc>
          <w:tcPr>
            <w:tcW w:w="40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Склад металлических заготовок (480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ул.Воронежская, 44</w:t>
            </w:r>
          </w:p>
        </w:tc>
      </w:tr>
      <w:tr w:rsidR="001027C2" w:rsidRPr="001027C2" w:rsidTr="001027C2">
        <w:trPr>
          <w:gridAfter w:val="1"/>
          <w:wAfter w:w="2835" w:type="dxa"/>
        </w:trPr>
        <w:tc>
          <w:tcPr>
            <w:tcW w:w="6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45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2 квартал 2017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существующей ХВО Пермской ТЭЦ-6 (4705,71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ул.Героев Хасана, 38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«ИНГК – Промтех»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Производственная база по механической сборке металлических конструкций (2-я очередь строительства) (3468,9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ул.Ново-Гайвинская, 92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Бородин С.П.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Магазин оптовой торговли (1145,2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Космонавтов ш., 90а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«Лукойл-Пермнефтеоргсинтез»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Блок ГДА установки гидрокрекинга ООО "Лукойл-Пермнефтеоргсинтез"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ул.Промышленная, 84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Тарасенко А.В.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стоянки автомобилей (корпус 2) (1173,6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ул.Моторостроителей, 6б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Кузнецов А.П.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Торговый комплекс «Вышка-2» (1495,9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ул.Гашкова, 25а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«Региональная сеть предприятий питания»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Предприятие общественного питания быстрого обслуживания "Макдоналдс" (538,5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ул.Попова, 58б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Катугина С.Л., Макаров А.В.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Административное здание (597,1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ул.Подводников, 33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Позднякова Ю.В.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Одноэтажный продовольственный магазин (545,6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ул.Косякова, 18а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«Динас»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Реконструкция 3-этажного жилого дома под размещение гостиницы </w:t>
            </w: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(1018,1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ул.Монастырская, 23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Пономарев Р.Г.; Пономарева О.С.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по ул.Деревообделочная,8 (5170,3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ул.Деревообделочная,8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«Дефанс»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многофункционального назначения (539,2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ул.Монастырская, 46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Горелов М.Г.; Смолянкина Л.И.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зданий складов под размещение магазина промышленных товаров (757,5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ул.Василия Васильева, 11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Осипов А.М.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1-этажного кирпичного здания магазина с подвалом (719,3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ул.Байкальская, 3/1</w:t>
            </w:r>
          </w:p>
        </w:tc>
      </w:tr>
      <w:tr w:rsidR="001027C2" w:rsidRPr="001027C2" w:rsidTr="001027C2">
        <w:trPr>
          <w:gridAfter w:val="1"/>
          <w:wAfter w:w="2835" w:type="dxa"/>
        </w:trPr>
        <w:tc>
          <w:tcPr>
            <w:tcW w:w="6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45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3 квартал 2017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«ИНГК – Промтех»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Производственная база по механической сборке металлических конструкций (2-я очередь строительства) (3468,9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ул.Ново-Гайвинская, 92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«Кампо»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Автосалон по ул.Спешилова,75,77 (1472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ул.Спешилова, 77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Удашова Г.Н; Хазиева К.В.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склада (1483,7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ул.Архитектора Свиязева, 37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Дроздов Л.С.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производственного здания под склад (1391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ул.Пихтовая, 37б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Позднякова Ю.В.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общественного назначения (1327,7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ул.Революции, 3г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Тарасенко А.В.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Здание стоянки автомобилей (корпус 1) (1173,6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ул.Моторостроителей, 6б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«Респект-Авто»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здания автогаража по ул.Энергетиков,40 (Лит.Д) (1041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ул.Энергетиков, 40а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АО «Научно-исследовательский институт полимерных материалов»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 xml:space="preserve">«Реконструкция и техническое перевооружение малотоннажного производства изделий, материалов и составов для порохов, твердых ракетных топлив на ФГУП «НИИПМ», г.Пермь, 1-й пусковой </w:t>
            </w: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(861,1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ул.Гальперина, 11 корп.3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lastRenderedPageBreak/>
              <w:t>ООО «Эйр Продактс»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Цех производства промышленных газов (689,2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ул.Промышленная, 98г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ПАО «Строительно-монтажный трест № 14»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Детский оздоровительный лагерь на базе СОК СП «Сосновый бор»,</w:t>
            </w:r>
          </w:p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спальный корпус поз.1 (995,9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ул.Усадебная, 55</w:t>
            </w:r>
          </w:p>
        </w:tc>
      </w:tr>
      <w:tr w:rsidR="001027C2" w:rsidRPr="001027C2" w:rsidTr="001027C2">
        <w:trPr>
          <w:gridAfter w:val="1"/>
          <w:wAfter w:w="2835" w:type="dxa"/>
        </w:trPr>
        <w:tc>
          <w:tcPr>
            <w:tcW w:w="6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45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4 квартал 2017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Многоотраслевое объединение "Крепар"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Новый бизнес-центр «Крепар» (4947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ул.Чкалова, 9и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Торговый центр "Мотовилихин-ский"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ТЦ «Мотовилихинский» (1497 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ул.Восстания, 25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"Леруа Мерлен Восток"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ТЦ «Леруа Мерлен» (16508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ш.Космонавтов, 162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ГКАУ "Центр спортивной подготовки Пермского края"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Крытый футбольный манеж в г.Перми по ул.Куйбышева,126а в Свердловском районе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ул.Куйбышева,126а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МАОУ "СОШ № 32 им. Г.А.Сборщикова" г.Перми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Реконструкция здания МАОУ "Средняя общеобразовательная школа № 32 им. Г.А.Сборщикова" г.Перми (пристройка спортивного зала)" по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ул.Советская,102а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ГКУ ПК "Управление капитального строительства Пермского края"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Пожарное депо на 4 выезда в г.Перми (микрорайон Камская Долина)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ул.Ломоносова, 96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Белова Л.М.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Бизнес-центр по ул.Луначарского, 73</w:t>
            </w:r>
          </w:p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ул.Луначарского, 73</w:t>
            </w:r>
          </w:p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ООО «Перекрёсток»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Магазин (971,6 кв.м)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ул.Гашкова, 2</w:t>
            </w:r>
          </w:p>
        </w:tc>
      </w:tr>
      <w:tr w:rsidR="001027C2" w:rsidRPr="001027C2" w:rsidTr="001027C2"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Дерябин И. А.; Казакова К.А.; Наумов А.А.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Магазин (1249,1 кв.м.)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27C2" w:rsidRPr="001027C2" w:rsidRDefault="001027C2" w:rsidP="001027C2">
            <w:pPr>
              <w:spacing w:after="150" w:line="240" w:lineRule="auto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</w:pPr>
            <w:r w:rsidRPr="001027C2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ru-RU"/>
              </w:rPr>
              <w:t>Парковый пр-кт, 3б</w:t>
            </w:r>
          </w:p>
        </w:tc>
      </w:tr>
    </w:tbl>
    <w:p w:rsidR="00074C3B" w:rsidRDefault="00505AB4"/>
    <w:sectPr w:rsidR="0007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F42"/>
    <w:multiLevelType w:val="multilevel"/>
    <w:tmpl w:val="F6FC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C064D"/>
    <w:multiLevelType w:val="hybridMultilevel"/>
    <w:tmpl w:val="FF5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214C"/>
    <w:multiLevelType w:val="multilevel"/>
    <w:tmpl w:val="33A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83F8A"/>
    <w:multiLevelType w:val="multilevel"/>
    <w:tmpl w:val="AA2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913AD"/>
    <w:multiLevelType w:val="multilevel"/>
    <w:tmpl w:val="0FC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40"/>
    <w:rsid w:val="00022A0C"/>
    <w:rsid w:val="001027C2"/>
    <w:rsid w:val="00215EBF"/>
    <w:rsid w:val="002719F2"/>
    <w:rsid w:val="002868C0"/>
    <w:rsid w:val="00505AB4"/>
    <w:rsid w:val="00EA113F"/>
    <w:rsid w:val="00F44E40"/>
    <w:rsid w:val="00F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13F"/>
    <w:pPr>
      <w:ind w:left="720"/>
      <w:contextualSpacing/>
    </w:pPr>
  </w:style>
  <w:style w:type="table" w:styleId="a6">
    <w:name w:val="Table Grid"/>
    <w:basedOn w:val="a1"/>
    <w:uiPriority w:val="59"/>
    <w:rsid w:val="00F5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113F"/>
    <w:pPr>
      <w:ind w:left="720"/>
      <w:contextualSpacing/>
    </w:pPr>
  </w:style>
  <w:style w:type="table" w:styleId="a6">
    <w:name w:val="Table Grid"/>
    <w:basedOn w:val="a1"/>
    <w:uiPriority w:val="59"/>
    <w:rsid w:val="00F50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Желвакова Анна Геннадьевна</dc:creator>
  <cp:keywords/>
  <dc:description/>
  <cp:lastModifiedBy>Желвакова Анна Геннадьевна</cp:lastModifiedBy>
  <cp:revision>4</cp:revision>
  <dcterms:created xsi:type="dcterms:W3CDTF">2019-06-19T09:57:00Z</dcterms:created>
  <dcterms:modified xsi:type="dcterms:W3CDTF">2019-06-27T04:09:00Z</dcterms:modified>
</cp:coreProperties>
</file>